
<file path=[Content_Types].xml><?xml version="1.0" encoding="utf-8"?>
<Types xmlns="http://schemas.openxmlformats.org/package/2006/content-types">
  <Default Extension="xml" ContentType="application/xml"/>
  <Default Extension="emf" ContentType="image/x-emf"/>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点击此处添加ICS号</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     </w:t>
            </w:r>
            <w:r>
              <w:fldChar w:fldCharType="end"/>
            </w:r>
            <w:bookmarkEnd w:id="3"/>
          </w:p>
        </w:tc>
      </w:tr>
    </w:tbl>
    <w:p>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6"/>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7"/>
        <w:rPr>
          <w:rFonts w:hAnsi="黑体"/>
          <w:lang w:val="fr-FR"/>
        </w:rPr>
      </w:pPr>
      <w:r>
        <w:rPr>
          <w:rFonts w:hAnsi="黑体"/>
        </w:rPr>
        <w:fldChar w:fldCharType="begin">
          <w:ffData>
            <w:name w:val="OSTD_CODE"/>
            <w:enabled/>
            <w:calcOnExit w:val="0"/>
            <w:textInput/>
          </w:ffData>
        </w:fldChar>
      </w:r>
      <w:bookmarkStart w:id="8" w:name="OSTD_CODE"/>
      <w:r>
        <w:rPr>
          <w:rFonts w:hAnsi="黑体"/>
          <w:lang w:val="fr-FR"/>
        </w:rPr>
        <w:instrText xml:space="preserve"> FORMTEXT </w:instrText>
      </w:r>
      <w:r>
        <w:rPr>
          <w:rFonts w:hAnsi="黑体"/>
        </w:rPr>
        <w:fldChar w:fldCharType="separate"/>
      </w:r>
      <w:r>
        <w:rPr>
          <w:rFonts w:hAnsi="黑体"/>
          <w:lang w:val="fr-FR"/>
        </w:rPr>
        <w:t>     </w:t>
      </w:r>
      <w:r>
        <w:rPr>
          <w:rFonts w:hAnsi="黑体"/>
        </w:rPr>
        <w:fldChar w:fldCharType="end"/>
      </w:r>
      <w:bookmarkEnd w:id="8"/>
    </w:p>
    <w:p>
      <w:pPr>
        <w:spacing w:line="240" w:lineRule="auto"/>
        <w:rPr>
          <w:rFonts w:ascii="黑体" w:hAnsi="黑体" w:eastAsia="黑体"/>
          <w:kern w:val="0"/>
          <w:sz w:val="10"/>
          <w:szCs w:val="10"/>
          <w:lang w:val="fr-FR"/>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ng0mW2AAAAAwBAAAPAAAAAAAAAAEAIAAAACIAAABkcnMv&#10;ZG93bnJldi54bWxQSwECFAAUAAAACACHTuJAeCbvfcoBAABeAwAADgAAAAAAAAABACAAAAAnAQAA&#10;ZHJzL2Uyb0RvYy54bWxQSwUGAAAAAAYABgBZAQAAYwUAAAAA&#10;">
                <v:fill on="f" focussize="0,0"/>
                <v:stroke color="#000000" joinstyle="round"/>
                <v:imagedata o:title=""/>
                <o:lock v:ext="edit" aspectratio="f"/>
              </v:line>
            </w:pict>
          </mc:Fallback>
        </mc:AlternateContent>
      </w:r>
    </w:p>
    <w:p>
      <w:pPr>
        <w:pStyle w:val="51"/>
        <w:framePr w:w="9639" w:h="6976" w:hRule="exact" w:hSpace="0" w:vSpace="0" w:wrap="around" w:hAnchor="page" w:y="6408"/>
        <w:jc w:val="center"/>
        <w:rPr>
          <w:rFonts w:ascii="黑体" w:hAnsi="黑体" w:eastAsia="黑体"/>
          <w:b w:val="0"/>
          <w:bCs w:val="0"/>
          <w:w w:val="100"/>
          <w:lang w:val="fr-FR"/>
        </w:rPr>
      </w:pPr>
    </w:p>
    <w:p>
      <w:pPr>
        <w:pStyle w:val="198"/>
        <w:framePr w:h="6974" w:hRule="exact" w:wrap="around" w:x="1419" w:anchorLock="1"/>
        <w:rPr>
          <w:lang w:val="fr-FR"/>
        </w:rPr>
      </w:pPr>
      <w:r>
        <w:fldChar w:fldCharType="begin">
          <w:ffData>
            <w:name w:val="CSTD_NAME"/>
            <w:enabled/>
            <w:calcOnExit w:val="0"/>
            <w:textInput>
              <w:default w:val="道路车辆类型鉴定规范"/>
            </w:textInput>
          </w:ffData>
        </w:fldChar>
      </w:r>
      <w:bookmarkStart w:id="9" w:name="CSTD_NAME"/>
      <w:r>
        <w:rPr>
          <w:lang w:val="fr-FR"/>
        </w:rPr>
        <w:instrText xml:space="preserve"> FORMTEXT </w:instrText>
      </w:r>
      <w:r>
        <w:fldChar w:fldCharType="separate"/>
      </w:r>
      <w:r>
        <w:t>道路车辆类型鉴定规范</w:t>
      </w:r>
      <w:r>
        <w:fldChar w:fldCharType="end"/>
      </w:r>
      <w:bookmarkEnd w:id="9"/>
    </w:p>
    <w:p>
      <w:pPr>
        <w:framePr w:w="9639" w:h="6974" w:hRule="exact" w:wrap="around" w:vAnchor="page" w:hAnchor="page" w:x="1419" w:y="6408" w:anchorLock="1"/>
        <w:ind w:left="-1418"/>
        <w:rPr>
          <w:lang w:val="fr-FR"/>
        </w:rPr>
      </w:pPr>
    </w:p>
    <w:p>
      <w:pPr>
        <w:pStyle w:val="126"/>
        <w:framePr w:w="9639" w:h="6974" w:hRule="exact" w:wrap="around" w:vAnchor="page" w:hAnchor="page" w:x="1419" w:y="6408" w:anchorLock="1"/>
        <w:textAlignment w:val="bottom"/>
        <w:rPr>
          <w:rFonts w:eastAsia="黑体"/>
          <w:szCs w:val="28"/>
          <w:lang w:val="fr-FR"/>
        </w:rPr>
      </w:pPr>
      <w:r>
        <w:rPr>
          <w:rFonts w:eastAsia="黑体"/>
          <w:szCs w:val="28"/>
        </w:rPr>
        <w:fldChar w:fldCharType="begin">
          <w:ffData>
            <w:name w:val="ESTD_NAME"/>
            <w:enabled/>
            <w:calcOnExit w:val="0"/>
            <w:textInput>
              <w:default w:val="Specification for Road Vehicle Type"/>
            </w:textInput>
          </w:ffData>
        </w:fldChar>
      </w:r>
      <w:bookmarkStart w:id="10" w:name="ESTD_NAME"/>
      <w:r>
        <w:rPr>
          <w:rFonts w:eastAsia="黑体"/>
          <w:szCs w:val="28"/>
          <w:lang w:val="fr-FR"/>
        </w:rPr>
        <w:instrText xml:space="preserve"> FORMTEXT </w:instrText>
      </w:r>
      <w:r>
        <w:rPr>
          <w:rFonts w:eastAsia="黑体"/>
          <w:szCs w:val="28"/>
        </w:rPr>
        <w:fldChar w:fldCharType="separate"/>
      </w:r>
      <w:r>
        <w:rPr>
          <w:rFonts w:eastAsia="黑体"/>
          <w:szCs w:val="28"/>
          <w:lang w:val="fr-FR"/>
        </w:rPr>
        <w:t>Specification for Road Vehicle Type</w:t>
      </w:r>
      <w:r>
        <w:rPr>
          <w:rFonts w:eastAsia="黑体"/>
          <w:szCs w:val="28"/>
        </w:rPr>
        <w:fldChar w:fldCharType="end"/>
      </w:r>
      <w:bookmarkEnd w:id="10"/>
    </w:p>
    <w:p>
      <w:pPr>
        <w:framePr w:w="9639" w:h="6974" w:hRule="exact" w:wrap="around" w:vAnchor="page" w:hAnchor="page" w:x="1419" w:y="6408" w:anchorLock="1"/>
        <w:spacing w:line="760" w:lineRule="exact"/>
        <w:ind w:left="-1418"/>
        <w:rPr>
          <w:lang w:val="fr-FR"/>
        </w:rPr>
      </w:pPr>
    </w:p>
    <w:p>
      <w:pPr>
        <w:pStyle w:val="126"/>
        <w:framePr w:w="9639" w:h="6974" w:hRule="exact" w:wrap="around" w:vAnchor="page" w:hAnchor="page" w:x="1419" w:y="6408" w:anchorLock="1"/>
        <w:textAlignment w:val="bottom"/>
        <w:rPr>
          <w:rFonts w:eastAsia="黑体"/>
          <w:szCs w:val="28"/>
          <w:lang w:val="fr-FR"/>
        </w:rPr>
      </w:pPr>
    </w:p>
    <w:p>
      <w:pPr>
        <w:pStyle w:val="126"/>
        <w:framePr w:w="9639" w:h="6974" w:hRule="exact" w:wrap="around" w:vAnchor="page" w:hAnchor="page" w:x="1419" w:y="6408" w:anchorLock="1"/>
        <w:spacing w:before="440" w:after="160"/>
        <w:textAlignment w:val="bottom"/>
        <w:rPr>
          <w:sz w:val="24"/>
          <w:szCs w:val="28"/>
          <w:lang w:val="fr-FR"/>
        </w:rPr>
      </w:pPr>
      <w:bookmarkStart w:id="11" w:name="下拉1"/>
      <w:r>
        <w:rPr>
          <w:sz w:val="24"/>
          <w:szCs w:val="28"/>
        </w:rPr>
        <w:t>征求意见稿</w:t>
      </w:r>
      <w:bookmarkEnd w:id="11"/>
      <w:r>
        <w:rPr>
          <w:sz w:val="24"/>
          <w:szCs w:val="28"/>
        </w:rPr>
        <w:fldChar w:fldCharType="begin">
          <w:ffData>
            <w:enabled/>
            <w:calcOnExit w:val="0"/>
            <w:ddList>
              <w:listEntry w:val=" "/>
              <w:listEntry w:val="草案版次选择"/>
              <w:listEntry w:val="（工作组讨论稿）"/>
              <w:listEntry w:val="（征求意见稿）"/>
              <w:listEntry w:val="（送审讨论稿）"/>
              <w:listEntry w:val="（送审稿）"/>
              <w:listEntry w:val="（报批稿）"/>
            </w:ddList>
          </w:ffData>
        </w:fldChar>
      </w:r>
      <w:r>
        <w:rPr>
          <w:sz w:val="24"/>
          <w:szCs w:val="28"/>
          <w:lang w:val="fr-FR"/>
        </w:rPr>
        <w:instrText xml:space="preserve"> FORMDROPDOWN </w:instrText>
      </w:r>
      <w:r>
        <w:rPr>
          <w:sz w:val="24"/>
          <w:szCs w:val="28"/>
        </w:rPr>
        <w:fldChar w:fldCharType="separate"/>
      </w:r>
      <w:r>
        <w:rPr>
          <w:sz w:val="24"/>
          <w:szCs w:val="28"/>
        </w:rPr>
        <w:fldChar w:fldCharType="end"/>
      </w:r>
    </w:p>
    <w:p>
      <w:pPr>
        <w:pStyle w:val="126"/>
        <w:framePr w:w="9639" w:h="6974" w:hRule="exact" w:wrap="around" w:vAnchor="page" w:hAnchor="page" w:x="1419" w:y="6408" w:anchorLock="1"/>
        <w:spacing w:before="180" w:line="240" w:lineRule="atLeast"/>
        <w:textAlignment w:val="bottom"/>
        <w:rPr>
          <w:sz w:val="21"/>
          <w:szCs w:val="28"/>
          <w:lang w:val="fr-FR"/>
        </w:rPr>
      </w:pPr>
      <w:r>
        <w:rPr>
          <w:sz w:val="21"/>
          <w:szCs w:val="28"/>
        </w:rPr>
        <w:fldChar w:fldCharType="begin">
          <w:ffData>
            <w:name w:val="CMPLSH_DATE"/>
            <w:enabled/>
            <w:calcOnExit w:val="0"/>
            <w:textInput>
              <w:default w:val="（本草案完成时间：2023年12月11日）"/>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（本草案完成时间：202</w:t>
      </w:r>
      <w:r>
        <w:rPr>
          <w:sz w:val="21"/>
          <w:szCs w:val="28"/>
        </w:rPr>
        <w:t>4</w:t>
      </w:r>
      <w:r>
        <w:rPr>
          <w:rFonts w:hint="eastAsia"/>
          <w:sz w:val="21"/>
          <w:szCs w:val="28"/>
        </w:rPr>
        <w:t>年</w:t>
      </w:r>
      <w:r>
        <w:rPr>
          <w:sz w:val="21"/>
          <w:szCs w:val="28"/>
        </w:rPr>
        <w:t>1</w:t>
      </w:r>
      <w:r>
        <w:rPr>
          <w:rFonts w:hint="eastAsia"/>
          <w:sz w:val="21"/>
          <w:szCs w:val="28"/>
        </w:rPr>
        <w:t>月</w:t>
      </w:r>
      <w:r>
        <w:rPr>
          <w:sz w:val="21"/>
          <w:szCs w:val="28"/>
        </w:rPr>
        <w:t>26</w:t>
      </w:r>
      <w:r>
        <w:rPr>
          <w:rFonts w:hint="eastAsia"/>
          <w:sz w:val="21"/>
          <w:szCs w:val="28"/>
        </w:rPr>
        <w:t>日）</w:t>
      </w:r>
      <w:r>
        <w:rPr>
          <w:sz w:val="21"/>
          <w:szCs w:val="28"/>
        </w:rPr>
        <w:fldChar w:fldCharType="end"/>
      </w:r>
      <w:bookmarkEnd w:id="12"/>
    </w:p>
    <w:p>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pPr>
        <w:rPr>
          <w:rFonts w:ascii="宋体" w:hAnsi="宋体"/>
          <w:sz w:val="28"/>
          <w:szCs w:val="28"/>
        </w:rPr>
        <w:sectPr>
          <w:headerReference r:id="rId5" w:type="first"/>
          <w:footerReference r:id="rId8" w:type="first"/>
          <w:headerReference r:id="rId3" w:type="default"/>
          <w:footerReference r:id="rId6" w:type="default"/>
          <w:headerReference r:id="rId4" w:type="even"/>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rMxz71wAAAA4BAAAPAAAAAAAAAAEAIAAAACIAAABkcnMvZG93&#10;bnJldi54bWxQSwECFAAUAAAACACHTuJAqt0+T8gBAABcAwAADgAAAAAAAAABACAAAAAmAQAAZHJz&#10;L2Uyb0RvYy54bWxQSwUGAAAAAAYABgBZAQAAYAUAAAAA&#10;">
                <v:fill on="f" focussize="0,0"/>
                <v:stroke color="#000000" joinstyle="round"/>
                <v:imagedata o:title=""/>
                <o:lock v:ext="edit" aspectratio="f"/>
                <w10:anchorlock/>
              </v:line>
            </w:pict>
          </mc:Fallback>
        </mc:AlternateContent>
      </w:r>
    </w:p>
    <w:p>
      <w:pPr>
        <w:pStyle w:val="92"/>
        <w:spacing w:after="468"/>
      </w:pPr>
      <w:bookmarkStart w:id="21" w:name="BookMark1"/>
      <w:bookmarkStart w:id="22" w:name="_Toc91007620"/>
      <w:bookmarkStart w:id="23" w:name="_Toc91007636"/>
      <w:bookmarkStart w:id="24" w:name="_Toc91007580"/>
      <w:r>
        <w:rPr>
          <w:rFonts w:hint="eastAsia"/>
          <w:spacing w:val="320"/>
        </w:rPr>
        <w:t>目</w:t>
      </w:r>
      <w:r>
        <w:rPr>
          <w:rFonts w:hint="eastAsia"/>
        </w:rPr>
        <w:t>次</w:t>
      </w:r>
    </w:p>
    <w:p>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"_Toc157154792" </w:instrText>
      </w:r>
      <w:r>
        <w:fldChar w:fldCharType="separate"/>
      </w:r>
      <w:r>
        <w:rPr>
          <w:rStyle w:val="33"/>
          <w:spacing w:val="320"/>
        </w:rPr>
        <w:t>前</w:t>
      </w:r>
      <w:r>
        <w:rPr>
          <w:rStyle w:val="33"/>
        </w:rPr>
        <w:t>言</w:t>
      </w:r>
      <w:r>
        <w:tab/>
      </w:r>
      <w:r>
        <w:fldChar w:fldCharType="begin"/>
      </w:r>
      <w:r>
        <w:instrText xml:space="preserve"> PAGEREF _Toc157154792 \h </w:instrText>
      </w:r>
      <w:r>
        <w:fldChar w:fldCharType="separate"/>
      </w:r>
      <w:r>
        <w:t>II</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"_Toc157154793" </w:instrText>
      </w:r>
      <w:r>
        <w:fldChar w:fldCharType="separate"/>
      </w:r>
      <w:r>
        <w:rPr>
          <w:rStyle w:val="33"/>
        </w:rPr>
        <w:t>1 范围</w:t>
      </w:r>
      <w:r>
        <w:tab/>
      </w:r>
      <w:r>
        <w:fldChar w:fldCharType="begin"/>
      </w:r>
      <w:r>
        <w:instrText xml:space="preserve"> PAGEREF _Toc157154793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"_Toc157154794" </w:instrText>
      </w:r>
      <w:r>
        <w:fldChar w:fldCharType="separate"/>
      </w:r>
      <w:r>
        <w:rPr>
          <w:rStyle w:val="33"/>
        </w:rPr>
        <w:t>2 规范性引用文件</w:t>
      </w:r>
      <w:r>
        <w:tab/>
      </w:r>
      <w:r>
        <w:fldChar w:fldCharType="begin"/>
      </w:r>
      <w:r>
        <w:instrText xml:space="preserve"> PAGEREF _Toc157154794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"_Toc157154795" </w:instrText>
      </w:r>
      <w:r>
        <w:fldChar w:fldCharType="separate"/>
      </w:r>
      <w:r>
        <w:rPr>
          <w:rStyle w:val="33"/>
        </w:rPr>
        <w:t>3 术语和定义</w:t>
      </w:r>
      <w:r>
        <w:tab/>
      </w:r>
      <w:r>
        <w:fldChar w:fldCharType="begin"/>
      </w:r>
      <w:r>
        <w:instrText xml:space="preserve"> PAGEREF _Toc157154795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"_Toc157154796" </w:instrText>
      </w:r>
      <w:r>
        <w:fldChar w:fldCharType="separate"/>
      </w:r>
      <w:r>
        <w:rPr>
          <w:rStyle w:val="33"/>
        </w:rPr>
        <w:t>4 一般要求</w:t>
      </w:r>
      <w:r>
        <w:tab/>
      </w:r>
      <w:r>
        <w:fldChar w:fldCharType="begin"/>
      </w:r>
      <w:r>
        <w:instrText xml:space="preserve"> PAGEREF _Toc157154796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"_Toc157154797" </w:instrText>
      </w:r>
      <w:r>
        <w:fldChar w:fldCharType="separate"/>
      </w:r>
      <w:r>
        <w:rPr>
          <w:rStyle w:val="33"/>
        </w:rPr>
        <w:t>5 鉴定设备及工具</w:t>
      </w:r>
      <w:r>
        <w:tab/>
      </w:r>
      <w:r>
        <w:fldChar w:fldCharType="begin"/>
      </w:r>
      <w:r>
        <w:instrText xml:space="preserve"> PAGEREF _Toc157154797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"_Toc157154798" </w:instrText>
      </w:r>
      <w:r>
        <w:fldChar w:fldCharType="separate"/>
      </w:r>
      <w:r>
        <w:rPr>
          <w:rStyle w:val="33"/>
        </w:rPr>
        <w:t>6 道路车辆类型鉴定</w:t>
      </w:r>
      <w:r>
        <w:tab/>
      </w:r>
      <w:r>
        <w:fldChar w:fldCharType="begin"/>
      </w:r>
      <w:r>
        <w:instrText xml:space="preserve"> PAGEREF _Toc157154798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"_Toc157154799" </w:instrText>
      </w:r>
      <w:r>
        <w:fldChar w:fldCharType="separate"/>
      </w:r>
      <w:r>
        <w:rPr>
          <w:rStyle w:val="33"/>
        </w:rPr>
        <w:t>7 记录</w:t>
      </w:r>
      <w:r>
        <w:tab/>
      </w:r>
      <w:r>
        <w:fldChar w:fldCharType="begin"/>
      </w:r>
      <w:r>
        <w:instrText xml:space="preserve"> PAGEREF _Toc157154799 \h </w:instrText>
      </w:r>
      <w:r>
        <w:fldChar w:fldCharType="separate"/>
      </w:r>
      <w:r>
        <w:t>7</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"_Toc157154800" </w:instrText>
      </w:r>
      <w:r>
        <w:fldChar w:fldCharType="separate"/>
      </w:r>
      <w:r>
        <w:rPr>
          <w:rStyle w:val="33"/>
        </w:rPr>
        <w:t>8 鉴定意见</w:t>
      </w:r>
      <w:r>
        <w:tab/>
      </w:r>
      <w:r>
        <w:fldChar w:fldCharType="begin"/>
      </w:r>
      <w:r>
        <w:instrText xml:space="preserve"> PAGEREF _Toc157154800 \h </w:instrText>
      </w:r>
      <w:r>
        <w:fldChar w:fldCharType="separate"/>
      </w:r>
      <w:r>
        <w:t>7</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"_Toc157154801" </w:instrText>
      </w:r>
      <w:r>
        <w:fldChar w:fldCharType="separate"/>
      </w:r>
      <w:r>
        <w:rPr>
          <w:rStyle w:val="33"/>
          <w:spacing w:val="100"/>
        </w:rPr>
        <w:t>附录A</w:t>
      </w:r>
      <w:r>
        <w:rPr>
          <w:rStyle w:val="33"/>
        </w:rPr>
        <w:t xml:space="preserve"> 道路车辆类型鉴定原始记录表格</w:t>
      </w:r>
      <w:r>
        <w:tab/>
      </w:r>
      <w:r>
        <w:fldChar w:fldCharType="begin"/>
      </w:r>
      <w:r>
        <w:instrText xml:space="preserve"> PAGEREF _Toc157154801 \h </w:instrText>
      </w:r>
      <w:r>
        <w:fldChar w:fldCharType="separate"/>
      </w:r>
      <w:r>
        <w:t>9</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"_Toc157154802" </w:instrText>
      </w:r>
      <w:r>
        <w:fldChar w:fldCharType="separate"/>
      </w:r>
      <w:r>
        <w:rPr>
          <w:rStyle w:val="33"/>
          <w:spacing w:val="105"/>
        </w:rPr>
        <w:t>参考文</w:t>
      </w:r>
      <w:r>
        <w:rPr>
          <w:rStyle w:val="33"/>
        </w:rPr>
        <w:t>献</w:t>
      </w:r>
      <w:r>
        <w:tab/>
      </w:r>
      <w:r>
        <w:fldChar w:fldCharType="begin"/>
      </w:r>
      <w:r>
        <w:instrText xml:space="preserve"> PAGEREF _Toc157154802 \h </w:instrText>
      </w:r>
      <w:r>
        <w:fldChar w:fldCharType="separate"/>
      </w:r>
      <w:r>
        <w:t>10</w:t>
      </w:r>
      <w:r>
        <w:fldChar w:fldCharType="end"/>
      </w:r>
      <w:r>
        <w:fldChar w:fldCharType="end"/>
      </w:r>
    </w:p>
    <w:p>
      <w:pPr>
        <w:pStyle w:val="92"/>
        <w:spacing w:after="468"/>
        <w:sectPr>
          <w:headerReference r:id="rId9" w:type="default"/>
          <w:footerReference r:id="rId11" w:type="default"/>
          <w:headerReference r:id="rId10" w:type="even"/>
          <w:footerReference r:id="rId12" w:type="even"/>
          <w:pgSz w:w="11906" w:h="16838"/>
          <w:pgMar w:top="2410" w:right="1134" w:bottom="1134" w:left="1134" w:header="1418" w:footer="1134" w:gutter="284"/>
          <w:pgNumType w:fmt="upperRoman" w:start="1"/>
          <w:cols w:space="425" w:num="1"/>
          <w:formProt w:val="0"/>
          <w:docGrid w:type="lines" w:linePitch="312" w:charSpace="0"/>
        </w:sectPr>
      </w:pPr>
      <w:r>
        <w:fldChar w:fldCharType="end"/>
      </w:r>
    </w:p>
    <w:bookmarkEnd w:id="21"/>
    <w:p>
      <w:pPr>
        <w:pStyle w:val="90"/>
        <w:spacing w:after="468"/>
      </w:pPr>
      <w:bookmarkStart w:id="25" w:name="_Toc157154792"/>
      <w:bookmarkStart w:id="26" w:name="BookMark2"/>
      <w:r>
        <w:rPr>
          <w:spacing w:val="320"/>
        </w:rPr>
        <w:t>前</w:t>
      </w:r>
      <w:r>
        <w:t>言</w:t>
      </w:r>
      <w:bookmarkEnd w:id="22"/>
      <w:bookmarkEnd w:id="23"/>
      <w:bookmarkEnd w:id="24"/>
      <w:bookmarkEnd w:id="25"/>
    </w:p>
    <w:p>
      <w:pPr>
        <w:pStyle w:val="57"/>
        <w:ind w:firstLine="420"/>
      </w:pPr>
      <w:r>
        <w:rPr>
          <w:rFonts w:hint="eastAsia"/>
        </w:rPr>
        <w:t>本文件按照GB/T 1.1—2020《标准化工作导则  第1部分：标准化文件的结构和起草规则》的规定起草。</w:t>
      </w:r>
    </w:p>
    <w:p>
      <w:pPr>
        <w:pStyle w:val="57"/>
        <w:ind w:firstLine="420"/>
      </w:pPr>
      <w:r>
        <w:rPr>
          <w:rFonts w:hint="eastAsia"/>
        </w:rPr>
        <w:t>请注意本文件的某些内容可能涉及专利。本文件的发布机构不承担识别专利的责任。</w:t>
      </w:r>
    </w:p>
    <w:p>
      <w:pPr>
        <w:pStyle w:val="57"/>
        <w:ind w:firstLine="420"/>
      </w:pPr>
      <w:r>
        <w:rPr>
          <w:rFonts w:hint="eastAsia"/>
        </w:rPr>
        <w:t>本文件由苏交科集团股份有限公司提出。</w:t>
      </w:r>
    </w:p>
    <w:p>
      <w:pPr>
        <w:pStyle w:val="57"/>
        <w:ind w:firstLine="420"/>
      </w:pPr>
      <w:r>
        <w:rPr>
          <w:rFonts w:hint="eastAsia"/>
        </w:rPr>
        <w:t>本文件由江苏省司法厅归口。</w:t>
      </w:r>
    </w:p>
    <w:p>
      <w:pPr>
        <w:pStyle w:val="57"/>
        <w:ind w:firstLine="420"/>
      </w:pPr>
      <w:r>
        <w:rPr>
          <w:rFonts w:hint="eastAsia"/>
        </w:rPr>
        <w:t>本文件起草单位：苏交科集团股份有限公司</w:t>
      </w:r>
      <w:bookmarkStart w:id="77" w:name="_GoBack"/>
      <w:bookmarkEnd w:id="77"/>
      <w:r>
        <w:rPr>
          <w:rFonts w:hint="eastAsia"/>
        </w:rPr>
        <w:t>、江苏省司法鉴定协会、南京市司法鉴定协会、南京康宁司法鉴定中心、江苏淮工车辆检测研究院有限公司司法鉴定所、中车戚墅堰机车车辆工艺研究所股份有限公司司法鉴定所、无锡中诚鉴证技术有限公司司法鉴定中心、无锡明慈心血管病医院有限公司司法鉴定所、苏州苏城检测中心有限公司司法鉴定所、宿迁子渊司法鉴定所、连云港正达司法鉴定中心、南京东南司法鉴定中心、苏州中旭机动车检测有限公司司法鉴定所、苏州大学司法鉴定中心、澳翰博（江苏）检测技术股份有限公司司法鉴定所、苏交科集团股份有限公司、南京交通职业技术学院</w:t>
      </w:r>
    </w:p>
    <w:p>
      <w:pPr>
        <w:pStyle w:val="57"/>
        <w:ind w:firstLine="420"/>
      </w:pPr>
      <w:r>
        <w:rPr>
          <w:rFonts w:hint="eastAsia"/>
        </w:rPr>
        <w:t>本文件主要起草人：朱辉、沈晓林、李振健、张冯章、缪磊、黄闽羚、董晗、章鑫、高群钦、胡晓明、唐庆、刘仕远、刘长强、白杨春、王晓东、夏仕宽、何宏荣、胡晓光、施栋豪、钱金宝、盛茜茜、梅奥运、薛洋洋、崔东坡、黄孙俊</w:t>
      </w:r>
    </w:p>
    <w:p>
      <w:pPr>
        <w:pStyle w:val="57"/>
        <w:ind w:firstLine="420"/>
      </w:pPr>
    </w:p>
    <w:p>
      <w:pPr>
        <w:pStyle w:val="57"/>
        <w:ind w:firstLine="420"/>
        <w:sectPr>
          <w:headerReference r:id="rId13" w:type="default"/>
          <w:footerReference r:id="rId15" w:type="default"/>
          <w:headerReference r:id="rId14" w:type="even"/>
          <w:footerReference r:id="rId16" w:type="even"/>
          <w:pgSz w:w="11906" w:h="16838"/>
          <w:pgMar w:top="2410" w:right="1134" w:bottom="1134" w:left="1134" w:header="1418" w:footer="1134" w:gutter="284"/>
          <w:pgNumType w:fmt="upperRoman"/>
          <w:cols w:space="425" w:num="1"/>
          <w:formProt w:val="0"/>
          <w:docGrid w:type="lines" w:linePitch="312" w:charSpace="0"/>
        </w:sectPr>
      </w:pPr>
    </w:p>
    <w:bookmarkEnd w:id="26"/>
    <w:p>
      <w:pPr>
        <w:spacing w:line="20" w:lineRule="exact"/>
        <w:jc w:val="center"/>
        <w:rPr>
          <w:rFonts w:ascii="黑体" w:hAnsi="黑体" w:eastAsia="黑体"/>
          <w:sz w:val="32"/>
          <w:szCs w:val="32"/>
        </w:rPr>
      </w:pPr>
      <w:bookmarkStart w:id="27" w:name="BookMark4"/>
    </w:p>
    <w:p>
      <w:pPr>
        <w:spacing w:line="20" w:lineRule="exact"/>
        <w:jc w:val="center"/>
        <w:rPr>
          <w:rFonts w:ascii="黑体" w:hAnsi="黑体" w:eastAsia="黑体"/>
          <w:sz w:val="32"/>
          <w:szCs w:val="32"/>
        </w:rPr>
      </w:pPr>
    </w:p>
    <w:sdt>
      <w:sdtPr>
        <w:tag w:val="NEW_STAND_NAME"/>
        <w:id w:val="595910757"/>
        <w:lock w:val="sdtLocked"/>
        <w:placeholder>
          <w:docPart w:val="22B59130BCA44116892E75AF3FEE7ED8"/>
        </w:placeholder>
      </w:sdtPr>
      <w:sdtContent>
        <w:p>
          <w:pPr>
            <w:pStyle w:val="178"/>
            <w:spacing w:before="3" w:beforeLines="1" w:after="686" w:afterLines="220"/>
          </w:pPr>
          <w:bookmarkStart w:id="28" w:name="NEW_STAND_NAME"/>
          <w:r>
            <w:rPr>
              <w:rFonts w:hint="eastAsia"/>
            </w:rPr>
            <w:t>道路车辆类型鉴定规范</w:t>
          </w:r>
        </w:p>
      </w:sdtContent>
    </w:sdt>
    <w:bookmarkEnd w:id="28"/>
    <w:p>
      <w:pPr>
        <w:pStyle w:val="105"/>
        <w:spacing w:before="312" w:after="312"/>
      </w:pPr>
      <w:bookmarkStart w:id="29" w:name="_Toc24884218"/>
      <w:bookmarkStart w:id="30" w:name="_Toc26986530"/>
      <w:bookmarkStart w:id="31" w:name="_Toc17233333"/>
      <w:bookmarkStart w:id="32" w:name="_Toc157154793"/>
      <w:bookmarkStart w:id="33" w:name="_Toc26718930"/>
      <w:bookmarkStart w:id="34" w:name="_Toc91007621"/>
      <w:bookmarkStart w:id="35" w:name="_Toc91007637"/>
      <w:bookmarkStart w:id="36" w:name="_Toc26648465"/>
      <w:bookmarkStart w:id="37" w:name="_Toc17233325"/>
      <w:bookmarkStart w:id="38" w:name="_Toc24884211"/>
      <w:bookmarkStart w:id="39" w:name="_Toc91007581"/>
      <w:bookmarkStart w:id="40" w:name="_Toc26986771"/>
      <w:r>
        <w:rPr>
          <w:rFonts w:hint="eastAsia"/>
        </w:rPr>
        <w:t>范围</w:t>
      </w:r>
      <w:bookmarkEnd w:id="29"/>
      <w:bookmarkEnd w:id="30"/>
      <w:bookmarkEnd w:id="31"/>
      <w:bookmarkEnd w:id="32"/>
      <w:bookmarkEnd w:id="33"/>
      <w:bookmarkEnd w:id="34"/>
      <w:bookmarkEnd w:id="35"/>
      <w:bookmarkEnd w:id="36"/>
      <w:bookmarkEnd w:id="37"/>
      <w:bookmarkEnd w:id="38"/>
      <w:bookmarkEnd w:id="39"/>
      <w:bookmarkEnd w:id="40"/>
    </w:p>
    <w:p>
      <w:pPr>
        <w:pStyle w:val="57"/>
        <w:ind w:firstLine="420"/>
      </w:pPr>
      <w:bookmarkStart w:id="41" w:name="_Toc26648466"/>
      <w:bookmarkStart w:id="42" w:name="_Toc17233334"/>
      <w:bookmarkStart w:id="43" w:name="_Toc24884212"/>
      <w:bookmarkStart w:id="44" w:name="_Toc17233326"/>
      <w:bookmarkStart w:id="45" w:name="_Toc24884219"/>
      <w:r>
        <w:rPr>
          <w:rFonts w:hint="eastAsia"/>
        </w:rPr>
        <w:t>本文件规定了车辆类型鉴定的鉴定步骤、鉴定方法、记录和鉴定意见的要求。</w:t>
      </w:r>
    </w:p>
    <w:p>
      <w:pPr>
        <w:pStyle w:val="57"/>
        <w:ind w:firstLine="420"/>
      </w:pPr>
      <w:r>
        <w:rPr>
          <w:rFonts w:hint="eastAsia"/>
        </w:rPr>
        <w:t>本文件适用于相应执业资格的鉴定人进行车辆类型鉴定，其他情况下车辆鉴定参照执行。</w:t>
      </w:r>
    </w:p>
    <w:p>
      <w:pPr>
        <w:pStyle w:val="105"/>
        <w:spacing w:before="312" w:after="312"/>
      </w:pPr>
      <w:bookmarkStart w:id="46" w:name="_Toc26718931"/>
      <w:bookmarkStart w:id="47" w:name="_Toc26986531"/>
      <w:bookmarkStart w:id="48" w:name="_Toc157154794"/>
      <w:bookmarkStart w:id="49" w:name="_Toc91007582"/>
      <w:bookmarkStart w:id="50" w:name="_Toc91007638"/>
      <w:bookmarkStart w:id="51" w:name="_Toc26986772"/>
      <w:bookmarkStart w:id="52" w:name="_Toc91007622"/>
      <w:r>
        <w:rPr>
          <w:rFonts w:hint="eastAsia"/>
        </w:rPr>
        <w:t>规范性引用文件</w:t>
      </w:r>
      <w:bookmarkEnd w:id="41"/>
      <w:bookmarkEnd w:id="42"/>
      <w:bookmarkEnd w:id="43"/>
      <w:bookmarkEnd w:id="44"/>
      <w:bookmarkEnd w:id="45"/>
      <w:bookmarkEnd w:id="46"/>
      <w:bookmarkEnd w:id="47"/>
      <w:bookmarkEnd w:id="48"/>
      <w:bookmarkEnd w:id="49"/>
      <w:bookmarkEnd w:id="50"/>
      <w:bookmarkEnd w:id="51"/>
      <w:bookmarkEnd w:id="52"/>
    </w:p>
    <w:sdt>
      <w:sdtPr>
        <w:rPr>
          <w:rFonts w:hint="eastAsia"/>
        </w:rPr>
        <w:id w:val="715848253"/>
        <w:placeholder>
          <w:docPart w:val="7107D09D7F5D4CB39993247DED27B72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7"/>
        <w:ind w:firstLine="420"/>
      </w:pPr>
      <w:r>
        <w:rPr>
          <w:rFonts w:hint="eastAsia"/>
        </w:rPr>
        <w:t>GB</w:t>
      </w:r>
      <w:r>
        <w:t xml:space="preserve"> 17761  </w:t>
      </w:r>
      <w:r>
        <w:rPr>
          <w:rFonts w:hint="eastAsia"/>
        </w:rPr>
        <w:t>电动自行车安全技术规范</w:t>
      </w:r>
    </w:p>
    <w:p>
      <w:pPr>
        <w:pStyle w:val="57"/>
        <w:ind w:firstLine="420"/>
      </w:pPr>
      <w:r>
        <w:rPr>
          <w:rFonts w:hint="eastAsia"/>
        </w:rPr>
        <w:t xml:space="preserve">GB 21861 </w:t>
      </w:r>
      <w:r>
        <w:t xml:space="preserve"> </w:t>
      </w:r>
      <w:r>
        <w:rPr>
          <w:rFonts w:hint="eastAsia"/>
        </w:rPr>
        <w:t>机动车安全技术检验项目和方法</w:t>
      </w:r>
    </w:p>
    <w:p>
      <w:pPr>
        <w:pStyle w:val="57"/>
        <w:ind w:firstLine="420"/>
      </w:pPr>
      <w:r>
        <w:rPr>
          <w:rFonts w:hint="eastAsia"/>
        </w:rPr>
        <w:t xml:space="preserve">GB 7258 </w:t>
      </w:r>
      <w:r>
        <w:t xml:space="preserve"> </w:t>
      </w:r>
      <w:r>
        <w:rPr>
          <w:rFonts w:hint="eastAsia"/>
        </w:rPr>
        <w:t>机动车运行安全技术条件</w:t>
      </w:r>
    </w:p>
    <w:p>
      <w:pPr>
        <w:pStyle w:val="57"/>
        <w:ind w:firstLine="420"/>
        <w:rPr>
          <w:szCs w:val="21"/>
        </w:rPr>
      </w:pPr>
      <w:r>
        <w:rPr>
          <w:rFonts w:hint="eastAsia" w:hAnsi="宋体"/>
        </w:rPr>
        <w:t xml:space="preserve">GB </w:t>
      </w:r>
      <w:r>
        <w:rPr>
          <w:rFonts w:hint="eastAsia"/>
        </w:rPr>
        <w:t xml:space="preserve">12995 </w:t>
      </w:r>
      <w:r>
        <w:rPr>
          <w:rFonts w:hint="eastAsia" w:hAnsi="宋体"/>
        </w:rPr>
        <w:t>机动轮椅车</w:t>
      </w:r>
    </w:p>
    <w:p>
      <w:pPr>
        <w:pStyle w:val="57"/>
        <w:ind w:firstLine="420"/>
      </w:pPr>
      <w:r>
        <w:rPr>
          <w:rFonts w:hint="eastAsia" w:hAnsi="宋体"/>
        </w:rPr>
        <w:t>G</w:t>
      </w:r>
      <w:r>
        <w:rPr>
          <w:rFonts w:hint="eastAsia"/>
        </w:rPr>
        <w:t xml:space="preserve">B/T 12996 </w:t>
      </w:r>
      <w:r>
        <w:rPr>
          <w:rFonts w:hint="eastAsia" w:hAnsi="宋体"/>
        </w:rPr>
        <w:t>电动轮椅车</w:t>
      </w:r>
    </w:p>
    <w:p>
      <w:pPr>
        <w:pStyle w:val="57"/>
        <w:ind w:firstLine="420"/>
      </w:pPr>
      <w:r>
        <w:rPr>
          <w:rFonts w:hint="eastAsia"/>
        </w:rPr>
        <w:t>GA</w:t>
      </w:r>
      <w:r>
        <w:t xml:space="preserve"> 802  </w:t>
      </w:r>
      <w:r>
        <w:rPr>
          <w:rFonts w:hint="eastAsia"/>
        </w:rPr>
        <w:t>道路交通管理 机动车类型</w:t>
      </w:r>
    </w:p>
    <w:p>
      <w:pPr>
        <w:pStyle w:val="57"/>
        <w:ind w:firstLine="420"/>
      </w:pPr>
      <w:r>
        <w:rPr>
          <w:rFonts w:hint="eastAsia"/>
        </w:rPr>
        <w:t xml:space="preserve">GA/T 642 </w:t>
      </w:r>
      <w:r>
        <w:t xml:space="preserve"> </w:t>
      </w:r>
      <w:r>
        <w:rPr>
          <w:rFonts w:hint="eastAsia"/>
        </w:rPr>
        <w:t>交通事故车辆安全技术检验鉴定</w:t>
      </w:r>
    </w:p>
    <w:p>
      <w:pPr>
        <w:pStyle w:val="57"/>
        <w:ind w:firstLine="420"/>
      </w:pPr>
      <w:r>
        <w:rPr>
          <w:rFonts w:hint="eastAsia"/>
        </w:rPr>
        <w:t>SF</w:t>
      </w:r>
      <w:r>
        <w:t xml:space="preserve">/T 0072  </w:t>
      </w:r>
      <w:r>
        <w:rPr>
          <w:rFonts w:hint="eastAsia"/>
        </w:rPr>
        <w:t>道路交通事故痕迹物证鉴定通用规范</w:t>
      </w:r>
    </w:p>
    <w:p>
      <w:pPr>
        <w:pStyle w:val="105"/>
        <w:spacing w:before="312" w:after="312"/>
      </w:pPr>
      <w:bookmarkStart w:id="53" w:name="_Toc91007583"/>
      <w:bookmarkStart w:id="54" w:name="_Toc91007623"/>
      <w:bookmarkStart w:id="55" w:name="_Toc157154795"/>
      <w:bookmarkStart w:id="56" w:name="_Toc91007639"/>
      <w:r>
        <w:rPr>
          <w:rFonts w:hint="eastAsia"/>
          <w:szCs w:val="21"/>
        </w:rPr>
        <w:t>术语和定义</w:t>
      </w:r>
      <w:bookmarkEnd w:id="53"/>
      <w:bookmarkEnd w:id="54"/>
      <w:bookmarkEnd w:id="55"/>
      <w:bookmarkEnd w:id="56"/>
    </w:p>
    <w:sdt>
      <w:sdtPr>
        <w:rPr>
          <w:rFonts w:hint="eastAsia"/>
        </w:rPr>
        <w:id w:val="-1909835108"/>
        <w:placeholder>
          <w:docPart w:val="ECFC2EEA9565402F8388EFC0EC6F73D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rPr>
      </w:sdtEndPr>
      <w:sdtContent>
        <w:p>
          <w:pPr>
            <w:pStyle w:val="57"/>
            <w:ind w:firstLine="420"/>
          </w:pPr>
          <w:bookmarkStart w:id="57" w:name="_Toc26986532"/>
          <w:bookmarkEnd w:id="57"/>
          <w:r>
            <w:rPr>
              <w:rFonts w:hint="eastAsia"/>
            </w:rPr>
            <w:t>下列术语和定义适用于本文件。</w:t>
          </w:r>
        </w:p>
      </w:sdtContent>
    </w:sdt>
    <w:p>
      <w:pPr>
        <w:pStyle w:val="224"/>
        <w:ind w:left="0"/>
      </w:pPr>
      <w:r>
        <w:rPr>
          <w:rFonts w:ascii="黑体" w:hAnsi="黑体" w:eastAsia="黑体"/>
        </w:rPr>
        <w:br w:type="textWrapping"/>
      </w:r>
      <w:r>
        <w:t xml:space="preserve">    </w:t>
      </w:r>
      <w:r>
        <w:rPr>
          <w:rFonts w:hint="eastAsia" w:ascii="黑体" w:hAnsi="黑体" w:eastAsia="黑体"/>
        </w:rPr>
        <w:t xml:space="preserve">道路车辆 </w:t>
      </w:r>
      <w:r>
        <w:rPr>
          <w:rFonts w:ascii="黑体" w:hAnsi="黑体" w:eastAsia="黑体"/>
        </w:rPr>
        <w:t xml:space="preserve"> </w:t>
      </w:r>
      <w:r>
        <w:rPr>
          <w:rFonts w:hint="eastAsia" w:ascii="黑体" w:hAnsi="黑体" w:eastAsia="黑体"/>
        </w:rPr>
        <w:t>road</w:t>
      </w:r>
      <w:r>
        <w:rPr>
          <w:rFonts w:ascii="黑体" w:hAnsi="黑体" w:eastAsia="黑体"/>
        </w:rPr>
        <w:t xml:space="preserve"> </w:t>
      </w:r>
      <w:r>
        <w:rPr>
          <w:rFonts w:hint="eastAsia" w:ascii="黑体" w:hAnsi="黑体" w:eastAsia="黑体"/>
        </w:rPr>
        <w:t>vehicle</w:t>
      </w:r>
    </w:p>
    <w:p>
      <w:pPr>
        <w:pStyle w:val="57"/>
        <w:ind w:firstLine="420"/>
      </w:pPr>
      <w:r>
        <w:t>设计和制造上用于在道路上载运人员、运送物品或进行专项作业，法律允许上道路行驶的车辆，包括机动车和非机动车。</w:t>
      </w:r>
    </w:p>
    <w:p>
      <w:pPr>
        <w:pStyle w:val="224"/>
        <w:numPr>
          <w:ilvl w:val="0"/>
          <w:numId w:val="0"/>
        </w:numPr>
        <w:ind w:firstLine="420" w:firstLineChars="200"/>
      </w:pPr>
      <w:r>
        <w:rPr>
          <w:rFonts w:hint="eastAsia"/>
        </w:rPr>
        <w:t>[</w:t>
      </w:r>
      <w:r>
        <w:rPr>
          <w:rFonts w:hAnsi="宋体"/>
        </w:rPr>
        <w:t>GA 802-2019</w:t>
      </w:r>
      <w:r>
        <w:rPr>
          <w:rFonts w:hint="eastAsia" w:hAnsi="宋体"/>
        </w:rPr>
        <w:t>，定义3</w:t>
      </w:r>
      <w:r>
        <w:rPr>
          <w:rFonts w:hAnsi="宋体"/>
        </w:rPr>
        <w:t>.1</w:t>
      </w:r>
      <w:r>
        <w:rPr>
          <w:rFonts w:hint="eastAsia"/>
        </w:rPr>
        <w:t>]</w:t>
      </w:r>
    </w:p>
    <w:p>
      <w:pPr>
        <w:pStyle w:val="224"/>
        <w:rPr>
          <w:rFonts w:ascii="黑体" w:hAnsi="黑体" w:eastAsia="黑体"/>
        </w:rPr>
      </w:pPr>
      <w:r>
        <w:rPr>
          <w:rFonts w:ascii="黑体" w:hAnsi="黑体" w:eastAsia="黑体"/>
        </w:rPr>
        <w:br w:type="textWrapping"/>
      </w:r>
      <w:r>
        <w:rPr>
          <w:rFonts w:hint="eastAsia" w:ascii="黑体" w:hAnsi="黑体" w:eastAsia="黑体"/>
        </w:rPr>
        <w:t xml:space="preserve"> </w:t>
      </w:r>
      <w:r>
        <w:rPr>
          <w:rFonts w:ascii="黑体" w:hAnsi="黑体" w:eastAsia="黑体"/>
        </w:rPr>
        <w:t xml:space="preserve">  </w:t>
      </w:r>
      <w:r>
        <w:rPr>
          <w:rFonts w:hint="eastAsia" w:ascii="黑体" w:hAnsi="黑体" w:eastAsia="黑体"/>
        </w:rPr>
        <w:t xml:space="preserve">非道路车辆 </w:t>
      </w:r>
      <w:r>
        <w:rPr>
          <w:rFonts w:ascii="黑体" w:hAnsi="黑体" w:eastAsia="黑体"/>
        </w:rPr>
        <w:t xml:space="preserve"> non-road vehicle</w:t>
      </w:r>
    </w:p>
    <w:p>
      <w:pPr>
        <w:pStyle w:val="57"/>
        <w:ind w:firstLine="420"/>
      </w:pPr>
      <w:r>
        <w:rPr>
          <w:rFonts w:hint="eastAsia"/>
        </w:rPr>
        <w:t>并非为在道路上行驶和使用而设计和制造、主要用于封闭道路和场所作业施工或者娱乐休闲，按照规定不能办理注册登记、由动力驱动（牵引）的车辆，包括叉车、场地观光游览车、全地形车、电动滑板车、平衡车等。</w:t>
      </w:r>
    </w:p>
    <w:p>
      <w:pPr>
        <w:pStyle w:val="57"/>
        <w:ind w:firstLine="420"/>
      </w:pPr>
      <w:r>
        <w:rPr>
          <w:rFonts w:hint="eastAsia"/>
        </w:rPr>
        <w:t>[</w:t>
      </w:r>
      <w:r>
        <w:rPr>
          <w:rFonts w:hAnsi="宋体"/>
        </w:rPr>
        <w:t>GA 802-2019</w:t>
      </w:r>
      <w:r>
        <w:rPr>
          <w:rFonts w:hint="eastAsia" w:hAnsi="宋体"/>
        </w:rPr>
        <w:t>，7</w:t>
      </w:r>
      <w:r>
        <w:rPr>
          <w:rFonts w:hAnsi="宋体"/>
        </w:rPr>
        <w:t>.2.4</w:t>
      </w:r>
      <w:r>
        <w:rPr>
          <w:rFonts w:hint="eastAsia"/>
        </w:rPr>
        <w:t>]</w:t>
      </w:r>
    </w:p>
    <w:p>
      <w:pPr>
        <w:pStyle w:val="224"/>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车辆类型 </w:t>
      </w:r>
      <w:r>
        <w:rPr>
          <w:rFonts w:ascii="黑体" w:hAnsi="黑体" w:eastAsia="黑体"/>
        </w:rPr>
        <w:t xml:space="preserve"> </w:t>
      </w:r>
      <w:r>
        <w:rPr>
          <w:rFonts w:hint="eastAsia" w:ascii="黑体" w:hAnsi="黑体" w:eastAsia="黑体"/>
        </w:rPr>
        <w:t>vehicle</w:t>
      </w:r>
      <w:r>
        <w:rPr>
          <w:rFonts w:ascii="黑体" w:hAnsi="黑体" w:eastAsia="黑体"/>
        </w:rPr>
        <w:t xml:space="preserve"> </w:t>
      </w:r>
      <w:r>
        <w:rPr>
          <w:rFonts w:hint="eastAsia" w:ascii="黑体" w:hAnsi="黑体" w:eastAsia="黑体"/>
        </w:rPr>
        <w:t>type</w:t>
      </w:r>
    </w:p>
    <w:p>
      <w:pPr>
        <w:pStyle w:val="57"/>
        <w:ind w:firstLine="420"/>
      </w:pPr>
      <w:r>
        <w:rPr>
          <w:rFonts w:hint="eastAsia"/>
        </w:rPr>
        <w:t>根据道路车辆的规格和结构确定的</w:t>
      </w:r>
      <w:r>
        <w:t>车辆</w:t>
      </w:r>
      <w:r>
        <w:rPr>
          <w:rFonts w:hint="eastAsia"/>
        </w:rPr>
        <w:t>类型，包括</w:t>
      </w:r>
      <w:r>
        <w:t>机动车和非机动车</w:t>
      </w:r>
      <w:r>
        <w:rPr>
          <w:rFonts w:hint="eastAsia"/>
        </w:rPr>
        <w:t>。</w:t>
      </w:r>
    </w:p>
    <w:p>
      <w:pPr>
        <w:pStyle w:val="57"/>
        <w:ind w:firstLine="420"/>
      </w:pPr>
      <w:r>
        <w:rPr>
          <w:rFonts w:hint="eastAsia"/>
        </w:rPr>
        <w:t>[改写</w:t>
      </w:r>
      <w:r>
        <w:rPr>
          <w:rFonts w:hAnsi="宋体"/>
        </w:rPr>
        <w:t>GA 802-2019</w:t>
      </w:r>
      <w:r>
        <w:rPr>
          <w:rFonts w:hint="eastAsia" w:hAnsi="宋体"/>
        </w:rPr>
        <w:t>，定义3</w:t>
      </w:r>
      <w:r>
        <w:rPr>
          <w:rFonts w:hAnsi="宋体"/>
        </w:rPr>
        <w:t>.2</w:t>
      </w:r>
      <w:r>
        <w:rPr>
          <w:rFonts w:hint="eastAsia"/>
        </w:rPr>
        <w:t>]</w:t>
      </w:r>
    </w:p>
    <w:p>
      <w:pPr>
        <w:pStyle w:val="224"/>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机动车 </w:t>
      </w:r>
      <w:r>
        <w:rPr>
          <w:rFonts w:ascii="黑体" w:hAnsi="黑体" w:eastAsia="黑体"/>
        </w:rPr>
        <w:t xml:space="preserve"> </w:t>
      </w:r>
      <w:r>
        <w:rPr>
          <w:rFonts w:hint="eastAsia" w:ascii="黑体" w:hAnsi="黑体" w:eastAsia="黑体"/>
        </w:rPr>
        <w:t>motor vehicle</w:t>
      </w:r>
    </w:p>
    <w:p>
      <w:pPr>
        <w:pStyle w:val="57"/>
        <w:ind w:firstLine="420"/>
      </w:pPr>
      <w:r>
        <w:rPr>
          <w:rFonts w:hint="eastAsia"/>
        </w:rPr>
        <w:t>由动力装置驱动或者牵引，上道路行驶的供人员乘用或者用于运送物品以及进行工程专项作业的轮式车辆，包括汽车及汽车列车、摩托车、轮式专用机械车、挂车、有轨电车、特型机动车和上道路行驶的拖拉机，不包括虽有动力装置但最大设计车速、整备质量、外廓尺寸等指标符合有关国家标准的残疾人机动轮椅车和电动自行车。</w:t>
      </w:r>
    </w:p>
    <w:p>
      <w:pPr>
        <w:pStyle w:val="57"/>
        <w:ind w:firstLine="420"/>
      </w:pPr>
      <w:r>
        <w:rPr>
          <w:rFonts w:hint="eastAsia"/>
        </w:rPr>
        <w:t>[</w:t>
      </w:r>
      <w:r>
        <w:rPr>
          <w:rFonts w:hAnsi="宋体"/>
        </w:rPr>
        <w:t>GA 802-2019</w:t>
      </w:r>
      <w:r>
        <w:rPr>
          <w:rFonts w:hint="eastAsia" w:hAnsi="宋体"/>
        </w:rPr>
        <w:t>，定义3</w:t>
      </w:r>
      <w:r>
        <w:rPr>
          <w:rFonts w:hAnsi="宋体"/>
        </w:rPr>
        <w:t>.1</w:t>
      </w:r>
      <w:r>
        <w:rPr>
          <w:rFonts w:hint="eastAsia" w:hAnsi="宋体"/>
        </w:rPr>
        <w:t>.</w:t>
      </w:r>
      <w:r>
        <w:rPr>
          <w:rFonts w:hAnsi="宋体"/>
        </w:rPr>
        <w:t>1</w:t>
      </w:r>
      <w:r>
        <w:rPr>
          <w:rFonts w:hint="eastAsia"/>
        </w:rPr>
        <w:t>]</w:t>
      </w:r>
    </w:p>
    <w:p>
      <w:pPr>
        <w:pStyle w:val="224"/>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非机动车 </w:t>
      </w:r>
      <w:r>
        <w:rPr>
          <w:rFonts w:ascii="黑体" w:hAnsi="黑体" w:eastAsia="黑体"/>
        </w:rPr>
        <w:t xml:space="preserve"> </w:t>
      </w:r>
      <w:r>
        <w:rPr>
          <w:rFonts w:hint="eastAsia" w:ascii="黑体" w:hAnsi="黑体" w:eastAsia="黑体"/>
        </w:rPr>
        <w:t>non</w:t>
      </w:r>
      <w:r>
        <w:rPr>
          <w:rFonts w:ascii="黑体" w:hAnsi="黑体" w:eastAsia="黑体"/>
        </w:rPr>
        <w:t>-</w:t>
      </w:r>
      <w:r>
        <w:rPr>
          <w:rFonts w:hint="eastAsia" w:ascii="黑体" w:hAnsi="黑体" w:eastAsia="黑体"/>
        </w:rPr>
        <w:t>motor vehicle</w:t>
      </w:r>
    </w:p>
    <w:p>
      <w:pPr>
        <w:pStyle w:val="57"/>
        <w:ind w:firstLine="420"/>
      </w:pPr>
      <w:r>
        <w:rPr>
          <w:rFonts w:hint="eastAsia"/>
        </w:rPr>
        <w:t>由人力或者畜力驱动，上道路行驶的交通工具，以及虽有动力装置驱动但设计最高时速、空车质量、外形尺寸符合有关国家标准的残疾人机动轮椅车、电动自行车等交通工具。</w:t>
      </w:r>
      <w:r>
        <w:cr/>
      </w:r>
      <w:r>
        <w:t xml:space="preserve">    </w:t>
      </w:r>
      <w:r>
        <w:rPr>
          <w:rFonts w:hint="eastAsia"/>
        </w:rPr>
        <w:t>[</w:t>
      </w:r>
      <w:r>
        <w:rPr>
          <w:rFonts w:hint="eastAsia" w:hAnsi="宋体"/>
        </w:rPr>
        <w:t>中华人民共和国道路交通安全法，第一百一十九条（四）</w:t>
      </w:r>
      <w:r>
        <w:rPr>
          <w:rFonts w:hint="eastAsia"/>
        </w:rPr>
        <w:t>]</w:t>
      </w:r>
    </w:p>
    <w:p>
      <w:pPr>
        <w:pStyle w:val="224"/>
        <w:ind w:left="420" w:hanging="420" w:hangingChars="200"/>
        <w:rPr>
          <w:rFonts w:ascii="黑体" w:hAnsi="黑体" w:eastAsia="黑体"/>
        </w:rPr>
      </w:pPr>
      <w:r>
        <w:rPr>
          <w:rFonts w:ascii="黑体" w:hAnsi="黑体" w:eastAsia="黑体"/>
          <w:highlight w:val="yellow"/>
        </w:rPr>
        <w:br w:type="textWrapping"/>
      </w:r>
      <w:r>
        <w:rPr>
          <w:rFonts w:hint="eastAsia" w:ascii="黑体" w:hAnsi="黑体" w:eastAsia="黑体"/>
        </w:rPr>
        <w:t xml:space="preserve">机动轮椅车 </w:t>
      </w:r>
      <w:r>
        <w:rPr>
          <w:rFonts w:ascii="黑体" w:hAnsi="黑体" w:eastAsia="黑体"/>
        </w:rPr>
        <w:t xml:space="preserve"> </w:t>
      </w:r>
      <w:r>
        <w:rPr>
          <w:rFonts w:hint="eastAsia" w:ascii="黑体" w:hAnsi="黑体" w:eastAsia="黑体"/>
        </w:rPr>
        <w:t>combustion-motor</w:t>
      </w:r>
      <w:r>
        <w:rPr>
          <w:rFonts w:ascii="黑体" w:hAnsi="黑体" w:eastAsia="黑体"/>
        </w:rPr>
        <w:t>-</w:t>
      </w:r>
      <w:r>
        <w:rPr>
          <w:rFonts w:hint="eastAsia" w:ascii="黑体" w:hAnsi="黑体" w:eastAsia="黑体"/>
        </w:rPr>
        <w:t>driven</w:t>
      </w:r>
      <w:r>
        <w:rPr>
          <w:rFonts w:ascii="黑体" w:hAnsi="黑体" w:eastAsia="黑体"/>
        </w:rPr>
        <w:t xml:space="preserve"> </w:t>
      </w:r>
      <w:r>
        <w:rPr>
          <w:rFonts w:hint="eastAsia" w:ascii="黑体" w:hAnsi="黑体" w:eastAsia="黑体"/>
        </w:rPr>
        <w:t>wheelchairs</w:t>
      </w:r>
    </w:p>
    <w:p>
      <w:pPr>
        <w:pStyle w:val="57"/>
        <w:ind w:firstLine="420"/>
      </w:pPr>
      <w:r>
        <w:rPr>
          <w:rFonts w:hint="eastAsia"/>
        </w:rPr>
        <w:t>为下肢残障者设计，由汽油机提供动力的轮椅车。</w:t>
      </w:r>
    </w:p>
    <w:p>
      <w:pPr>
        <w:pStyle w:val="57"/>
        <w:ind w:firstLine="361"/>
        <w:rPr>
          <w:rFonts w:hAnsi="宋体"/>
          <w:sz w:val="18"/>
          <w:szCs w:val="18"/>
        </w:rPr>
      </w:pPr>
      <w:r>
        <w:rPr>
          <w:rFonts w:hint="eastAsia" w:hAnsi="宋体"/>
          <w:b/>
          <w:sz w:val="18"/>
          <w:szCs w:val="18"/>
        </w:rPr>
        <w:t>注1：</w:t>
      </w:r>
      <w:r>
        <w:rPr>
          <w:rFonts w:hint="eastAsia" w:hAnsi="宋体"/>
          <w:sz w:val="18"/>
          <w:szCs w:val="18"/>
        </w:rPr>
        <w:t>此车一般为正三轮,全部由上肢操作，并贴有残疾人专用车标志,是道路行驶的交通工具,又称残疾人三轮摩托车。</w:t>
      </w:r>
    </w:p>
    <w:p>
      <w:pPr>
        <w:pStyle w:val="57"/>
        <w:ind w:firstLine="361"/>
        <w:rPr>
          <w:rFonts w:hAnsi="宋体"/>
          <w:b/>
          <w:sz w:val="18"/>
          <w:szCs w:val="18"/>
        </w:rPr>
      </w:pPr>
      <w:r>
        <w:rPr>
          <w:rFonts w:hint="eastAsia" w:hAnsi="宋体"/>
          <w:b/>
          <w:sz w:val="18"/>
          <w:szCs w:val="18"/>
        </w:rPr>
        <w:t>注2：</w:t>
      </w:r>
      <w:r>
        <w:rPr>
          <w:rFonts w:hint="eastAsia" w:hAnsi="宋体"/>
          <w:sz w:val="18"/>
          <w:szCs w:val="18"/>
        </w:rPr>
        <w:t>此车应有放置拐杖的位置，并能固定。</w:t>
      </w:r>
    </w:p>
    <w:p>
      <w:pPr>
        <w:pStyle w:val="57"/>
        <w:ind w:firstLine="420"/>
      </w:pPr>
      <w:r>
        <w:rPr>
          <w:rFonts w:hint="eastAsia"/>
        </w:rPr>
        <w:t>[改写</w:t>
      </w:r>
      <w:r>
        <w:rPr>
          <w:rFonts w:hAnsi="宋体"/>
        </w:rPr>
        <w:t>G</w:t>
      </w:r>
      <w:r>
        <w:rPr>
          <w:rFonts w:hint="eastAsia" w:hAnsi="宋体"/>
        </w:rPr>
        <w:t>B</w:t>
      </w:r>
      <w:r>
        <w:rPr>
          <w:rFonts w:hAnsi="宋体"/>
        </w:rPr>
        <w:t xml:space="preserve"> 12995-2006</w:t>
      </w:r>
      <w:r>
        <w:rPr>
          <w:rFonts w:hint="eastAsia" w:hAnsi="宋体"/>
        </w:rPr>
        <w:t>，定义3</w:t>
      </w:r>
      <w:r>
        <w:rPr>
          <w:rFonts w:hAnsi="宋体"/>
        </w:rPr>
        <w:t>.1</w:t>
      </w:r>
      <w:r>
        <w:rPr>
          <w:rFonts w:hint="eastAsia" w:hAnsi="宋体"/>
        </w:rPr>
        <w:t>.</w:t>
      </w:r>
      <w:r>
        <w:rPr>
          <w:rFonts w:hAnsi="宋体"/>
        </w:rPr>
        <w:t>1</w:t>
      </w:r>
      <w:r>
        <w:rPr>
          <w:rFonts w:hint="eastAsia"/>
        </w:rPr>
        <w:t>]</w:t>
      </w:r>
    </w:p>
    <w:p>
      <w:pPr>
        <w:pStyle w:val="224"/>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电动轮椅车 </w:t>
      </w:r>
      <w:r>
        <w:rPr>
          <w:rFonts w:ascii="黑体" w:hAnsi="黑体" w:eastAsia="黑体"/>
        </w:rPr>
        <w:t xml:space="preserve"> electrically powered wheelchair</w:t>
      </w:r>
    </w:p>
    <w:p>
      <w:pPr>
        <w:pStyle w:val="57"/>
        <w:ind w:firstLine="420"/>
      </w:pPr>
      <w:r>
        <w:rPr>
          <w:rFonts w:hint="eastAsia"/>
        </w:rPr>
        <w:t>可由乘坐者或护理者操作的、有一个或多个电机驱动的、能电动控制速度的、可使用手动或动力转向的供残障者使用的带有座椅支撑的轮式个人移动装置。</w:t>
      </w:r>
    </w:p>
    <w:p>
      <w:pPr>
        <w:pStyle w:val="57"/>
        <w:ind w:firstLine="420"/>
      </w:pPr>
      <w:r>
        <w:rPr>
          <w:rFonts w:hint="eastAsia"/>
        </w:rPr>
        <w:t>[GB</w:t>
      </w:r>
      <w:r>
        <w:t>/T 12996-2012</w:t>
      </w:r>
      <w:r>
        <w:rPr>
          <w:rFonts w:hint="eastAsia"/>
        </w:rPr>
        <w:t>，定义3</w:t>
      </w:r>
      <w:r>
        <w:t>.1</w:t>
      </w:r>
      <w:r>
        <w:rPr>
          <w:rFonts w:hint="eastAsia"/>
        </w:rPr>
        <w:t>]</w:t>
      </w:r>
    </w:p>
    <w:p>
      <w:pPr>
        <w:pStyle w:val="224"/>
        <w:ind w:left="420" w:hanging="420" w:hangingChars="200"/>
        <w:rPr>
          <w:rFonts w:ascii="黑体" w:hAnsi="黑体" w:eastAsia="黑体"/>
        </w:rPr>
      </w:pPr>
      <w:r>
        <w:rPr>
          <w:rFonts w:ascii="黑体" w:hAnsi="黑体" w:eastAsia="黑体"/>
        </w:rPr>
        <w:br w:type="textWrapping"/>
      </w:r>
      <w:r>
        <w:rPr>
          <w:rFonts w:hint="eastAsia" w:ascii="黑体" w:hAnsi="黑体" w:eastAsia="黑体"/>
        </w:rPr>
        <w:t>电动自行车</w:t>
      </w:r>
      <w:r>
        <w:rPr>
          <w:rFonts w:ascii="黑体" w:hAnsi="黑体" w:eastAsia="黑体"/>
        </w:rPr>
        <w:t xml:space="preserve">  </w:t>
      </w:r>
      <w:r>
        <w:rPr>
          <w:rFonts w:hint="eastAsia" w:ascii="黑体" w:hAnsi="黑体" w:eastAsia="黑体"/>
        </w:rPr>
        <w:t>electric</w:t>
      </w:r>
      <w:r>
        <w:rPr>
          <w:rFonts w:ascii="黑体" w:hAnsi="黑体" w:eastAsia="黑体"/>
        </w:rPr>
        <w:t xml:space="preserve"> </w:t>
      </w:r>
      <w:r>
        <w:rPr>
          <w:rFonts w:hint="eastAsia" w:ascii="黑体" w:hAnsi="黑体" w:eastAsia="黑体"/>
        </w:rPr>
        <w:t>bicycle</w:t>
      </w:r>
    </w:p>
    <w:p>
      <w:pPr>
        <w:pStyle w:val="57"/>
        <w:ind w:firstLine="420" w:firstLineChars="0"/>
      </w:pPr>
      <w:r>
        <w:rPr>
          <w:rFonts w:hint="eastAsia"/>
        </w:rPr>
        <w:t>以车载蓄电池作为辅助能源，具有脚踏骑行能力，能实现电助动或/和电驱动功能的两轮自行车。</w:t>
      </w:r>
    </w:p>
    <w:p>
      <w:pPr>
        <w:pStyle w:val="57"/>
        <w:ind w:firstLine="420" w:firstLineChars="0"/>
        <w:rPr>
          <w:rFonts w:hAnsi="宋体"/>
          <w:sz w:val="18"/>
          <w:szCs w:val="18"/>
        </w:rPr>
      </w:pPr>
      <w:r>
        <w:rPr>
          <w:rFonts w:hint="eastAsia" w:hAnsi="宋体"/>
          <w:b/>
          <w:sz w:val="18"/>
          <w:szCs w:val="18"/>
        </w:rPr>
        <w:t>注：</w:t>
      </w:r>
      <w:r>
        <w:rPr>
          <w:rFonts w:hint="eastAsia" w:hAnsi="宋体"/>
          <w:sz w:val="18"/>
          <w:szCs w:val="18"/>
        </w:rPr>
        <w:t>电动自行车应同时符合以下要求：</w:t>
      </w:r>
    </w:p>
    <w:p>
      <w:pPr>
        <w:pStyle w:val="175"/>
        <w:rPr>
          <w:rFonts w:hAnsi="宋体"/>
          <w:sz w:val="18"/>
          <w:szCs w:val="18"/>
        </w:rPr>
      </w:pPr>
      <w:r>
        <w:rPr>
          <w:rFonts w:hint="eastAsia" w:hAnsi="宋体"/>
          <w:sz w:val="18"/>
          <w:szCs w:val="18"/>
        </w:rPr>
        <w:t>具有脚踏骑行功能；</w:t>
      </w:r>
    </w:p>
    <w:p>
      <w:pPr>
        <w:pStyle w:val="175"/>
        <w:rPr>
          <w:rFonts w:hAnsi="宋体"/>
          <w:sz w:val="18"/>
          <w:szCs w:val="18"/>
        </w:rPr>
      </w:pPr>
      <w:r>
        <w:rPr>
          <w:rFonts w:hint="eastAsia" w:hAnsi="宋体"/>
          <w:sz w:val="18"/>
          <w:szCs w:val="18"/>
        </w:rPr>
        <w:t>具有电驱动或/和电助动功能；</w:t>
      </w:r>
    </w:p>
    <w:p>
      <w:pPr>
        <w:pStyle w:val="175"/>
        <w:rPr>
          <w:rFonts w:hAnsi="宋体"/>
          <w:sz w:val="18"/>
          <w:szCs w:val="18"/>
        </w:rPr>
      </w:pPr>
      <w:r>
        <w:rPr>
          <w:rFonts w:hint="eastAsia" w:hAnsi="宋体"/>
          <w:sz w:val="18"/>
          <w:szCs w:val="18"/>
        </w:rPr>
        <w:t>电驱动行驶时，最高设计车速不超过25 km/h；电助动行驶时，车速超过25km/h，电动机不得提供动力输出；</w:t>
      </w:r>
    </w:p>
    <w:p>
      <w:pPr>
        <w:pStyle w:val="175"/>
        <w:rPr>
          <w:rFonts w:hAnsi="宋体"/>
          <w:sz w:val="18"/>
          <w:szCs w:val="18"/>
        </w:rPr>
      </w:pPr>
      <w:r>
        <w:rPr>
          <w:rFonts w:hint="eastAsia" w:hAnsi="宋体"/>
          <w:sz w:val="18"/>
          <w:szCs w:val="18"/>
        </w:rPr>
        <w:t>装配完整的电动自行车的整车质量≦55kg；</w:t>
      </w:r>
    </w:p>
    <w:p>
      <w:pPr>
        <w:pStyle w:val="175"/>
        <w:rPr>
          <w:rFonts w:hAnsi="宋体"/>
          <w:sz w:val="18"/>
          <w:szCs w:val="18"/>
        </w:rPr>
      </w:pPr>
      <w:r>
        <w:rPr>
          <w:rFonts w:hint="eastAsia" w:hAnsi="宋体"/>
          <w:sz w:val="18"/>
          <w:szCs w:val="18"/>
        </w:rPr>
        <w:t>蓄电池标称电压≦48V；</w:t>
      </w:r>
    </w:p>
    <w:p>
      <w:pPr>
        <w:pStyle w:val="175"/>
        <w:rPr>
          <w:rFonts w:hAnsi="宋体"/>
          <w:sz w:val="18"/>
          <w:szCs w:val="18"/>
        </w:rPr>
      </w:pPr>
      <w:r>
        <w:rPr>
          <w:rFonts w:hint="eastAsia" w:hAnsi="宋体"/>
          <w:sz w:val="18"/>
          <w:szCs w:val="18"/>
        </w:rPr>
        <w:t>电动机额定连续输出功率≦400W。</w:t>
      </w:r>
    </w:p>
    <w:p>
      <w:pPr>
        <w:pStyle w:val="57"/>
        <w:ind w:firstLine="420"/>
      </w:pPr>
      <w:bookmarkStart w:id="58" w:name="_Hlk90904140"/>
      <w:r>
        <w:rPr>
          <w:rFonts w:hint="eastAsia"/>
        </w:rPr>
        <w:t>[改写GB</w:t>
      </w:r>
      <w:r>
        <w:t xml:space="preserve"> 17761-2018</w:t>
      </w:r>
      <w:r>
        <w:rPr>
          <w:rFonts w:hint="eastAsia"/>
        </w:rPr>
        <w:t>，定义3</w:t>
      </w:r>
      <w:r>
        <w:t>.1</w:t>
      </w:r>
      <w:r>
        <w:rPr>
          <w:rFonts w:hint="eastAsia"/>
        </w:rPr>
        <w:t>]</w:t>
      </w:r>
      <w:bookmarkEnd w:id="58"/>
    </w:p>
    <w:p>
      <w:pPr>
        <w:pStyle w:val="224"/>
        <w:ind w:left="420" w:hanging="420" w:hangingChars="200"/>
        <w:rPr>
          <w:rFonts w:ascii="黑体" w:hAnsi="黑体" w:eastAsia="黑体"/>
        </w:rPr>
      </w:pPr>
      <w:r>
        <w:rPr>
          <w:rFonts w:ascii="黑体" w:hAnsi="黑体" w:eastAsia="黑体"/>
          <w:color w:val="FF0000"/>
        </w:rPr>
        <w:br w:type="textWrapping"/>
      </w:r>
      <w:r>
        <w:rPr>
          <w:rFonts w:hint="eastAsia" w:ascii="黑体" w:hAnsi="黑体" w:eastAsia="黑体"/>
        </w:rPr>
        <w:t>摩托车  motorcycle</w:t>
      </w:r>
      <w:r>
        <w:rPr>
          <w:rFonts w:ascii="黑体" w:hAnsi="黑体" w:eastAsia="黑体"/>
        </w:rPr>
        <w:t xml:space="preserve"> </w:t>
      </w:r>
      <w:r>
        <w:rPr>
          <w:rFonts w:hint="eastAsia" w:ascii="黑体" w:hAnsi="黑体" w:eastAsia="黑体"/>
        </w:rPr>
        <w:t>and</w:t>
      </w:r>
      <w:r>
        <w:rPr>
          <w:rFonts w:ascii="黑体" w:hAnsi="黑体" w:eastAsia="黑体"/>
        </w:rPr>
        <w:t xml:space="preserve"> </w:t>
      </w:r>
      <w:r>
        <w:rPr>
          <w:rFonts w:hint="eastAsia" w:ascii="黑体" w:hAnsi="黑体" w:eastAsia="黑体"/>
        </w:rPr>
        <w:t>moped</w:t>
      </w:r>
    </w:p>
    <w:p>
      <w:pPr>
        <w:pStyle w:val="57"/>
        <w:ind w:firstLine="420"/>
      </w:pPr>
      <w:r>
        <w:rPr>
          <w:rFonts w:hint="eastAsia"/>
        </w:rPr>
        <w:t>由动力装置驱动的具有两个或三个车轮的道路车辆，但不包括如下类别：</w:t>
      </w:r>
    </w:p>
    <w:p>
      <w:pPr>
        <w:pStyle w:val="57"/>
        <w:ind w:firstLine="420"/>
      </w:pPr>
      <w:r>
        <w:rPr>
          <w:rFonts w:hint="eastAsia"/>
        </w:rPr>
        <w:t>最大设计车速、整车整备质量、外廓尺寸等指标符合相关国家标准和规定的都，专供残疾人驾驶的机动轮椅车。</w:t>
      </w:r>
    </w:p>
    <w:p>
      <w:pPr>
        <w:pStyle w:val="57"/>
        <w:ind w:firstLine="420"/>
      </w:pPr>
      <w:r>
        <w:rPr>
          <w:rFonts w:hint="eastAsia"/>
        </w:rPr>
        <w:t>[改写GB</w:t>
      </w:r>
      <w:r>
        <w:t>/</w:t>
      </w:r>
      <w:r>
        <w:rPr>
          <w:rFonts w:hint="eastAsia"/>
        </w:rPr>
        <w:t>T</w:t>
      </w:r>
      <w:r>
        <w:t xml:space="preserve"> 5359.1</w:t>
      </w:r>
      <w:r>
        <w:rPr>
          <w:rFonts w:hint="eastAsia"/>
        </w:rPr>
        <w:t>-</w:t>
      </w:r>
      <w:r>
        <w:t>2019</w:t>
      </w:r>
      <w:r>
        <w:rPr>
          <w:rFonts w:hint="eastAsia"/>
        </w:rPr>
        <w:t>，定义</w:t>
      </w:r>
      <w:r>
        <w:t>2.1</w:t>
      </w:r>
      <w:r>
        <w:rPr>
          <w:rFonts w:hint="eastAsia"/>
        </w:rPr>
        <w:t>]</w:t>
      </w:r>
    </w:p>
    <w:p>
      <w:pPr>
        <w:pStyle w:val="224"/>
        <w:ind w:left="420" w:hanging="420" w:hangingChars="200"/>
        <w:rPr>
          <w:rFonts w:ascii="黑体" w:hAnsi="黑体" w:eastAsia="黑体"/>
        </w:rPr>
      </w:pPr>
      <w:r>
        <w:rPr>
          <w:rFonts w:ascii="黑体" w:hAnsi="黑体" w:eastAsia="黑体"/>
          <w:color w:val="FF0000"/>
        </w:rPr>
        <w:br w:type="textWrapping"/>
      </w:r>
      <w:r>
        <w:rPr>
          <w:rFonts w:hint="eastAsia" w:ascii="黑体" w:hAnsi="黑体" w:eastAsia="黑体"/>
        </w:rPr>
        <w:t>普通摩托车  motorcycle</w:t>
      </w:r>
    </w:p>
    <w:p>
      <w:pPr>
        <w:pStyle w:val="57"/>
        <w:ind w:firstLine="420"/>
      </w:pPr>
      <w:r>
        <w:rPr>
          <w:rFonts w:hint="eastAsia"/>
        </w:rPr>
        <w:t>无论采用何种驱动方式，其最大设计车速大于 50</w:t>
      </w:r>
      <w:r>
        <w:t xml:space="preserve"> </w:t>
      </w:r>
      <w:r>
        <w:rPr>
          <w:rFonts w:hint="eastAsia"/>
        </w:rPr>
        <w:t>km/h，或如使用内燃机，其排量大于 50</w:t>
      </w:r>
      <w:r>
        <w:t xml:space="preserve"> </w:t>
      </w:r>
      <w:r>
        <w:rPr>
          <w:rFonts w:hint="eastAsia"/>
        </w:rPr>
        <w:t>mL，或如使用电驱动，其电机额定功率总和大于 4</w:t>
      </w:r>
      <w:r>
        <w:t xml:space="preserve"> </w:t>
      </w:r>
      <w:r>
        <w:rPr>
          <w:rFonts w:hint="eastAsia"/>
        </w:rPr>
        <w:t>kW 的摩托车，包括两轮普通摩托车、边三轮摩托车和正三轮摩托车。</w:t>
      </w:r>
    </w:p>
    <w:p>
      <w:pPr>
        <w:pStyle w:val="57"/>
        <w:ind w:firstLine="420"/>
      </w:pPr>
      <w:r>
        <w:rPr>
          <w:rFonts w:hint="eastAsia"/>
        </w:rPr>
        <w:t>[GB</w:t>
      </w:r>
      <w:r>
        <w:t xml:space="preserve"> 7258</w:t>
      </w:r>
      <w:r>
        <w:rPr>
          <w:rFonts w:hint="eastAsia"/>
        </w:rPr>
        <w:t>-</w:t>
      </w:r>
      <w:r>
        <w:t>2017</w:t>
      </w:r>
      <w:r>
        <w:rPr>
          <w:rFonts w:hint="eastAsia"/>
        </w:rPr>
        <w:t>，定义</w:t>
      </w:r>
      <w:r>
        <w:t>3.6.1</w:t>
      </w:r>
      <w:r>
        <w:rPr>
          <w:rFonts w:hint="eastAsia"/>
        </w:rPr>
        <w:t>]</w:t>
      </w:r>
    </w:p>
    <w:p>
      <w:pPr>
        <w:pStyle w:val="224"/>
        <w:ind w:left="420" w:hanging="420" w:hangingChars="200"/>
        <w:rPr>
          <w:rFonts w:ascii="黑体" w:hAnsi="黑体" w:eastAsia="黑体"/>
        </w:rPr>
      </w:pPr>
      <w:r>
        <w:rPr>
          <w:rFonts w:ascii="黑体" w:hAnsi="黑体" w:eastAsia="黑体"/>
          <w:color w:val="FF0000"/>
        </w:rPr>
        <w:br w:type="textWrapping"/>
      </w:r>
      <w:r>
        <w:rPr>
          <w:rFonts w:hint="eastAsia" w:ascii="黑体" w:hAnsi="黑体" w:eastAsia="黑体"/>
        </w:rPr>
        <w:t>轻便摩托车  moped</w:t>
      </w:r>
    </w:p>
    <w:p>
      <w:pPr>
        <w:pStyle w:val="57"/>
        <w:ind w:firstLine="420"/>
      </w:pPr>
      <w:r>
        <w:rPr>
          <w:rFonts w:hint="eastAsia"/>
        </w:rPr>
        <w:t>无论采用何种驱动方式，其最大设计车速不大于 50</w:t>
      </w:r>
      <w:r>
        <w:t xml:space="preserve"> </w:t>
      </w:r>
      <w:r>
        <w:rPr>
          <w:rFonts w:hint="eastAsia"/>
        </w:rPr>
        <w:t>km/h的摩托车，且：</w:t>
      </w:r>
    </w:p>
    <w:p>
      <w:pPr>
        <w:pStyle w:val="57"/>
        <w:ind w:firstLine="420"/>
      </w:pPr>
      <w:r>
        <w:rPr>
          <w:rFonts w:hint="eastAsia"/>
        </w:rPr>
        <w:t>——如使用内燃机，其排量不大于 50</w:t>
      </w:r>
      <w:r>
        <w:t xml:space="preserve"> </w:t>
      </w:r>
      <w:r>
        <w:rPr>
          <w:rFonts w:hint="eastAsia"/>
        </w:rPr>
        <w:t>mL；</w:t>
      </w:r>
    </w:p>
    <w:p>
      <w:pPr>
        <w:pStyle w:val="57"/>
        <w:ind w:firstLine="420"/>
      </w:pPr>
      <w:r>
        <w:rPr>
          <w:rFonts w:hint="eastAsia"/>
        </w:rPr>
        <w:t>——如使用电驱动，其电机额定功率总和不大于 4</w:t>
      </w:r>
      <w:r>
        <w:t xml:space="preserve"> </w:t>
      </w:r>
      <w:r>
        <w:rPr>
          <w:rFonts w:hint="eastAsia"/>
        </w:rPr>
        <w:t>kw。</w:t>
      </w:r>
    </w:p>
    <w:p>
      <w:pPr>
        <w:pStyle w:val="57"/>
        <w:ind w:firstLine="420"/>
      </w:pPr>
      <w:r>
        <w:rPr>
          <w:rFonts w:hint="eastAsia"/>
        </w:rPr>
        <w:t>[GB</w:t>
      </w:r>
      <w:r>
        <w:t xml:space="preserve"> 7258</w:t>
      </w:r>
      <w:r>
        <w:rPr>
          <w:rFonts w:hint="eastAsia"/>
        </w:rPr>
        <w:t>-</w:t>
      </w:r>
      <w:r>
        <w:t>2017</w:t>
      </w:r>
      <w:r>
        <w:rPr>
          <w:rFonts w:hint="eastAsia"/>
        </w:rPr>
        <w:t>，定义</w:t>
      </w:r>
      <w:r>
        <w:t>3.6.2</w:t>
      </w:r>
      <w:r>
        <w:rPr>
          <w:rFonts w:hint="eastAsia"/>
        </w:rPr>
        <w:t>]</w:t>
      </w:r>
    </w:p>
    <w:p>
      <w:pPr>
        <w:pStyle w:val="224"/>
        <w:ind w:left="420" w:hanging="420" w:hangingChars="200"/>
        <w:rPr>
          <w:rFonts w:ascii="黑体" w:hAnsi="黑体" w:eastAsia="黑体"/>
        </w:rPr>
      </w:pPr>
      <w:r>
        <w:rPr>
          <w:rFonts w:ascii="黑体" w:hAnsi="黑体" w:eastAsia="黑体"/>
          <w:color w:val="FF0000"/>
        </w:rPr>
        <w:br w:type="textWrapping"/>
      </w:r>
      <w:r>
        <w:rPr>
          <w:rFonts w:hint="eastAsia" w:ascii="黑体" w:hAnsi="黑体" w:eastAsia="黑体"/>
        </w:rPr>
        <w:t>电驱动  electric drive</w:t>
      </w:r>
    </w:p>
    <w:p>
      <w:pPr>
        <w:pStyle w:val="57"/>
        <w:ind w:firstLine="420"/>
      </w:pPr>
      <w:r>
        <w:rPr>
          <w:rFonts w:hint="eastAsia"/>
        </w:rPr>
        <w:t>驱动电能来源于车载蓄电池，仅以电动机输出动力的驱动方式。</w:t>
      </w:r>
    </w:p>
    <w:p>
      <w:pPr>
        <w:pStyle w:val="57"/>
        <w:ind w:firstLine="420"/>
      </w:pPr>
      <w:r>
        <w:rPr>
          <w:rFonts w:hint="eastAsia"/>
        </w:rPr>
        <w:t>[GB</w:t>
      </w:r>
      <w:r>
        <w:t xml:space="preserve"> 17761-2018</w:t>
      </w:r>
      <w:r>
        <w:rPr>
          <w:rFonts w:hint="eastAsia"/>
        </w:rPr>
        <w:t>，定义3</w:t>
      </w:r>
      <w:r>
        <w:t>.3</w:t>
      </w:r>
      <w:r>
        <w:rPr>
          <w:rFonts w:hint="eastAsia"/>
        </w:rPr>
        <w:t>]</w:t>
      </w:r>
    </w:p>
    <w:p>
      <w:pPr>
        <w:pStyle w:val="224"/>
        <w:ind w:left="420" w:hanging="420" w:hangingChars="200"/>
        <w:rPr>
          <w:rFonts w:ascii="黑体" w:hAnsi="黑体" w:eastAsia="黑体"/>
        </w:rPr>
      </w:pPr>
      <w:r>
        <w:rPr>
          <w:rFonts w:ascii="黑体" w:hAnsi="黑体" w:eastAsia="黑体"/>
          <w:strike/>
          <w:color w:val="FF0000"/>
        </w:rPr>
        <w:br w:type="textWrapping"/>
      </w:r>
      <w:r>
        <w:rPr>
          <w:rFonts w:hint="eastAsia" w:ascii="黑体" w:hAnsi="黑体" w:eastAsia="黑体"/>
        </w:rPr>
        <w:t xml:space="preserve">电助动 </w:t>
      </w:r>
      <w:r>
        <w:rPr>
          <w:rFonts w:ascii="黑体" w:hAnsi="黑体" w:eastAsia="黑体"/>
        </w:rPr>
        <w:t xml:space="preserve"> </w:t>
      </w:r>
      <w:r>
        <w:rPr>
          <w:rFonts w:hint="eastAsia" w:ascii="黑体" w:hAnsi="黑体" w:eastAsia="黑体"/>
        </w:rPr>
        <w:t>electric aid</w:t>
      </w:r>
    </w:p>
    <w:p>
      <w:pPr>
        <w:pStyle w:val="57"/>
        <w:ind w:firstLine="420"/>
      </w:pPr>
      <w:r>
        <w:rPr>
          <w:rFonts w:hint="eastAsia"/>
        </w:rPr>
        <w:t>由人力和电动机的动力按输出比例组成的驱动方式。</w:t>
      </w:r>
    </w:p>
    <w:p>
      <w:pPr>
        <w:pStyle w:val="57"/>
        <w:ind w:firstLine="420"/>
      </w:pPr>
      <w:r>
        <w:rPr>
          <w:rFonts w:hint="eastAsia"/>
        </w:rPr>
        <w:t>[GB</w:t>
      </w:r>
      <w:r>
        <w:t xml:space="preserve"> 17761-2018</w:t>
      </w:r>
      <w:r>
        <w:rPr>
          <w:rFonts w:hint="eastAsia"/>
        </w:rPr>
        <w:t>，定义3</w:t>
      </w:r>
      <w:r>
        <w:t>.4</w:t>
      </w:r>
      <w:r>
        <w:rPr>
          <w:rFonts w:hint="eastAsia"/>
        </w:rPr>
        <w:t>]</w:t>
      </w:r>
    </w:p>
    <w:p>
      <w:pPr>
        <w:pStyle w:val="224"/>
        <w:ind w:left="420" w:hanging="420" w:hangingChars="200"/>
        <w:rPr>
          <w:rFonts w:ascii="黑体" w:hAnsi="黑体" w:eastAsia="黑体"/>
        </w:rPr>
      </w:pPr>
      <w:r>
        <w:rPr>
          <w:rFonts w:ascii="黑体" w:hAnsi="黑体" w:eastAsia="黑体"/>
          <w:strike/>
          <w:color w:val="FF0000"/>
        </w:rPr>
        <w:br w:type="textWrapping"/>
      </w:r>
      <w:r>
        <w:rPr>
          <w:rFonts w:hint="eastAsia" w:ascii="黑体" w:hAnsi="黑体" w:eastAsia="黑体"/>
        </w:rPr>
        <w:t xml:space="preserve">制造日期 </w:t>
      </w:r>
      <w:r>
        <w:rPr>
          <w:rFonts w:ascii="黑体" w:hAnsi="黑体" w:eastAsia="黑体"/>
        </w:rPr>
        <w:t xml:space="preserve"> manufactured date</w:t>
      </w:r>
    </w:p>
    <w:p>
      <w:pPr>
        <w:pStyle w:val="57"/>
        <w:ind w:firstLine="420"/>
      </w:pPr>
      <w:r>
        <w:rPr>
          <w:rFonts w:hint="eastAsia"/>
        </w:rPr>
        <w:t>车辆制造完成的日期。</w:t>
      </w:r>
    </w:p>
    <w:p>
      <w:pPr>
        <w:pStyle w:val="57"/>
        <w:ind w:firstLine="420"/>
        <w:rPr>
          <w:strike/>
          <w:color w:val="FF0000"/>
        </w:rPr>
      </w:pPr>
      <w:r>
        <w:rPr>
          <w:rFonts w:hint="eastAsia"/>
        </w:rPr>
        <w:t>[GB</w:t>
      </w:r>
      <w:r>
        <w:t xml:space="preserve"> 17761-2018</w:t>
      </w:r>
      <w:r>
        <w:rPr>
          <w:rFonts w:hint="eastAsia"/>
        </w:rPr>
        <w:t>，定义3</w:t>
      </w:r>
      <w:r>
        <w:t>.5</w:t>
      </w:r>
      <w:r>
        <w:rPr>
          <w:rFonts w:hint="eastAsia"/>
        </w:rPr>
        <w:t>]</w:t>
      </w:r>
    </w:p>
    <w:p>
      <w:pPr>
        <w:pStyle w:val="105"/>
        <w:spacing w:before="312" w:after="312"/>
      </w:pPr>
      <w:bookmarkStart w:id="59" w:name="_Toc157154796"/>
      <w:r>
        <w:rPr>
          <w:rFonts w:hint="eastAsia"/>
        </w:rPr>
        <w:t>一般要求</w:t>
      </w:r>
      <w:bookmarkEnd w:id="59"/>
    </w:p>
    <w:p>
      <w:pPr>
        <w:pStyle w:val="163"/>
        <w:ind w:left="0"/>
        <w:rPr>
          <w:rFonts w:ascii="黑体" w:hAnsi="黑体" w:eastAsia="黑体"/>
        </w:rPr>
      </w:pPr>
      <w:r>
        <w:rPr>
          <w:rFonts w:hint="eastAsia" w:ascii="黑体" w:hAnsi="黑体" w:eastAsia="黑体"/>
        </w:rPr>
        <w:t>总则</w:t>
      </w:r>
    </w:p>
    <w:p>
      <w:pPr>
        <w:pStyle w:val="225"/>
      </w:pPr>
      <w:r>
        <w:rPr>
          <w:rFonts w:hint="eastAsia"/>
        </w:rPr>
        <w:t>道路车辆类型鉴定的受理程序、送检材料的接收、检验鉴定程序、材料的流转程序、结果报告程序、记录与归档应符合SF/T 0072的规定。</w:t>
      </w:r>
    </w:p>
    <w:p>
      <w:pPr>
        <w:pStyle w:val="225"/>
      </w:pPr>
      <w:r>
        <w:rPr>
          <w:rFonts w:hint="eastAsia"/>
        </w:rPr>
        <w:t>道路车辆类型鉴定应使用适宜的技术方法，检验鉴定过程所采集的信息、检测数据应能查证追溯，鉴定分析意见应科学严谨。</w:t>
      </w:r>
    </w:p>
    <w:p>
      <w:pPr>
        <w:pStyle w:val="225"/>
      </w:pPr>
      <w:r>
        <w:rPr>
          <w:rFonts w:hint="eastAsia"/>
        </w:rPr>
        <w:t>道路车辆类型鉴定的判定依据包括：</w:t>
      </w:r>
    </w:p>
    <w:p>
      <w:pPr>
        <w:pStyle w:val="175"/>
        <w:numPr>
          <w:ilvl w:val="0"/>
          <w:numId w:val="32"/>
        </w:numPr>
      </w:pPr>
      <w:r>
        <w:rPr>
          <w:rFonts w:hint="eastAsia"/>
        </w:rPr>
        <w:t>GB</w:t>
      </w:r>
      <w:r>
        <w:t xml:space="preserve"> 7258</w:t>
      </w:r>
      <w:r>
        <w:rPr>
          <w:rFonts w:hint="eastAsia"/>
        </w:rPr>
        <w:t>、GB</w:t>
      </w:r>
      <w:r>
        <w:t xml:space="preserve"> 17761</w:t>
      </w:r>
      <w:r>
        <w:rPr>
          <w:rFonts w:hint="eastAsia"/>
        </w:rPr>
        <w:t>、GB</w:t>
      </w:r>
      <w:r>
        <w:t xml:space="preserve"> 12995</w:t>
      </w:r>
      <w:r>
        <w:rPr>
          <w:rFonts w:hint="eastAsia"/>
        </w:rPr>
        <w:t>和GB</w:t>
      </w:r>
      <w:r>
        <w:t>/T 12996</w:t>
      </w:r>
      <w:r>
        <w:rPr>
          <w:rFonts w:hint="eastAsia"/>
        </w:rPr>
        <w:t>等国家标准；</w:t>
      </w:r>
    </w:p>
    <w:p>
      <w:pPr>
        <w:pStyle w:val="175"/>
        <w:numPr>
          <w:ilvl w:val="0"/>
          <w:numId w:val="32"/>
        </w:numPr>
      </w:pPr>
      <w:r>
        <w:rPr>
          <w:rFonts w:hint="eastAsia"/>
        </w:rPr>
        <w:t>GA</w:t>
      </w:r>
      <w:r>
        <w:t xml:space="preserve"> 802</w:t>
      </w:r>
      <w:r>
        <w:rPr>
          <w:rFonts w:hint="eastAsia"/>
        </w:rPr>
        <w:t>等相关行业标准；</w:t>
      </w:r>
    </w:p>
    <w:p>
      <w:pPr>
        <w:pStyle w:val="225"/>
      </w:pPr>
      <w:bookmarkStart w:id="60" w:name="_Hlk127866529"/>
      <w:r>
        <w:rPr>
          <w:rFonts w:hint="eastAsia"/>
        </w:rPr>
        <w:t>道路车辆类型鉴定</w:t>
      </w:r>
      <w:bookmarkEnd w:id="60"/>
      <w:r>
        <w:rPr>
          <w:rFonts w:hint="eastAsia"/>
        </w:rPr>
        <w:t>意见书内容应符合司法鉴定文书的要求。</w:t>
      </w:r>
    </w:p>
    <w:p>
      <w:pPr>
        <w:pStyle w:val="163"/>
        <w:ind w:left="0"/>
        <w:rPr>
          <w:rFonts w:ascii="黑体" w:hAnsi="黑体" w:eastAsia="黑体"/>
        </w:rPr>
      </w:pPr>
      <w:r>
        <w:rPr>
          <w:rFonts w:ascii="黑体" w:hAnsi="黑体" w:eastAsia="黑体"/>
        </w:rPr>
        <w:t>材料收集</w:t>
      </w:r>
    </w:p>
    <w:p>
      <w:pPr>
        <w:pStyle w:val="225"/>
      </w:pPr>
      <w:r>
        <w:rPr>
          <w:rFonts w:hint="eastAsia"/>
        </w:rPr>
        <w:t>宜通过委托人获取相关检材与资料。如涉案车辆、零部件、交通事故现场图、涉案车辆合格证、购车发票、车辆照片等。</w:t>
      </w:r>
    </w:p>
    <w:p>
      <w:pPr>
        <w:pStyle w:val="225"/>
        <w:ind w:left="420" w:hanging="420" w:hangingChars="200"/>
        <w:rPr>
          <w:rFonts w:ascii="黑体" w:hAnsi="黑体" w:eastAsia="黑体"/>
        </w:rPr>
      </w:pPr>
      <w:r>
        <w:rPr>
          <w:rFonts w:hint="eastAsia"/>
        </w:rPr>
        <w:t>检材应符合以下要求：</w:t>
      </w:r>
    </w:p>
    <w:p>
      <w:pPr>
        <w:pStyle w:val="175"/>
        <w:numPr>
          <w:ilvl w:val="0"/>
          <w:numId w:val="33"/>
        </w:numPr>
      </w:pPr>
      <w:r>
        <w:rPr>
          <w:rFonts w:hint="eastAsia"/>
        </w:rPr>
        <w:t>检材真实、完整，来源合法；</w:t>
      </w:r>
    </w:p>
    <w:p>
      <w:pPr>
        <w:pStyle w:val="175"/>
      </w:pPr>
      <w:r>
        <w:rPr>
          <w:rFonts w:hint="eastAsia"/>
        </w:rPr>
        <w:t>在检材外包装上，对检材名称、来源、提取地点、提取人、时间、保存环境要求等信息进行标识，或在检材的适当部位加贴标签标识；</w:t>
      </w:r>
    </w:p>
    <w:p>
      <w:pPr>
        <w:pStyle w:val="175"/>
      </w:pPr>
      <w:r>
        <w:rPr>
          <w:rFonts w:hint="eastAsia"/>
        </w:rPr>
        <w:t>对于事故车辆整车，采集车辆号牌、车辆识别代号（VIN）、车辆铭牌信息和发动机号等信息；</w:t>
      </w:r>
    </w:p>
    <w:p>
      <w:pPr>
        <w:pStyle w:val="175"/>
      </w:pPr>
      <w:r>
        <w:rPr>
          <w:rFonts w:hint="eastAsia"/>
        </w:rPr>
        <w:t>对于断裂的车辆零部件，应搜集完整，保护好断口形态。</w:t>
      </w:r>
    </w:p>
    <w:p>
      <w:pPr>
        <w:pStyle w:val="163"/>
        <w:ind w:left="0"/>
        <w:rPr>
          <w:rFonts w:ascii="黑体" w:hAnsi="黑体" w:eastAsia="黑体"/>
        </w:rPr>
      </w:pPr>
      <w:r>
        <w:rPr>
          <w:rFonts w:hint="eastAsia" w:ascii="黑体" w:hAnsi="黑体" w:eastAsia="黑体"/>
        </w:rPr>
        <w:t>明确鉴定要求</w:t>
      </w:r>
    </w:p>
    <w:p>
      <w:pPr>
        <w:pStyle w:val="225"/>
      </w:pPr>
      <w:r>
        <w:rPr>
          <w:rFonts w:hint="eastAsia"/>
        </w:rPr>
        <w:t>应了解委托方的具体鉴定要求，明确需要鉴定的道路车辆的具体内容及鉴定范围以及通过鉴定需要证明的具体事项。</w:t>
      </w:r>
    </w:p>
    <w:p>
      <w:pPr>
        <w:pStyle w:val="225"/>
      </w:pPr>
      <w:r>
        <w:rPr>
          <w:rFonts w:hint="eastAsia"/>
        </w:rPr>
        <w:t>对于鉴定要求不明确或不准确的，应与委托方沟通确认鉴定要求。</w:t>
      </w:r>
    </w:p>
    <w:p>
      <w:pPr>
        <w:pStyle w:val="225"/>
      </w:pPr>
      <w:r>
        <w:rPr>
          <w:rFonts w:hint="eastAsia"/>
        </w:rPr>
        <w:t>应确认委托人提出的鉴定事项，审查其是否属于道路车辆类型鉴定的范围。</w:t>
      </w:r>
    </w:p>
    <w:p>
      <w:pPr>
        <w:pStyle w:val="105"/>
        <w:spacing w:before="312" w:after="312"/>
      </w:pPr>
      <w:bookmarkStart w:id="61" w:name="_Toc157154797"/>
      <w:r>
        <w:rPr>
          <w:rFonts w:hint="eastAsia"/>
        </w:rPr>
        <w:t>鉴定设备及工具</w:t>
      </w:r>
      <w:bookmarkEnd w:id="61"/>
    </w:p>
    <w:p>
      <w:pPr>
        <w:pStyle w:val="163"/>
        <w:ind w:left="0"/>
      </w:pPr>
      <w:r>
        <w:rPr>
          <w:rFonts w:hint="eastAsia"/>
        </w:rPr>
        <w:t>道路车辆类型鉴定宜使用以下设备和工具</w:t>
      </w:r>
    </w:p>
    <w:p>
      <w:pPr>
        <w:pStyle w:val="175"/>
        <w:numPr>
          <w:ilvl w:val="0"/>
          <w:numId w:val="34"/>
        </w:numPr>
      </w:pPr>
      <w:r>
        <w:rPr>
          <w:rFonts w:hint="eastAsia"/>
        </w:rPr>
        <w:t>通用检测设备。包括长度测量设备、车速检测设备、胎压计、称重测量设备等；</w:t>
      </w:r>
    </w:p>
    <w:p>
      <w:pPr>
        <w:pStyle w:val="175"/>
        <w:numPr>
          <w:ilvl w:val="0"/>
          <w:numId w:val="34"/>
        </w:numPr>
      </w:pPr>
      <w:r>
        <w:rPr>
          <w:rFonts w:hint="eastAsia"/>
        </w:rPr>
        <w:t>通用工具。包括数码相机、摄像机、照明设备、举升机等。</w:t>
      </w:r>
    </w:p>
    <w:p>
      <w:pPr>
        <w:pStyle w:val="163"/>
        <w:ind w:left="0"/>
      </w:pPr>
      <w:r>
        <w:rPr>
          <w:rFonts w:hint="eastAsia"/>
        </w:rPr>
        <w:t>检测设备应进行检定或校准，并在检定或校准有效期内。</w:t>
      </w:r>
    </w:p>
    <w:p>
      <w:pPr>
        <w:pStyle w:val="105"/>
        <w:spacing w:before="312" w:after="312"/>
      </w:pPr>
      <w:bookmarkStart w:id="62" w:name="_Toc157154798"/>
      <w:r>
        <w:rPr>
          <w:rFonts w:hint="eastAsia"/>
        </w:rPr>
        <w:t>道路车辆类型鉴定</w:t>
      </w:r>
      <w:bookmarkEnd w:id="62"/>
    </w:p>
    <w:p>
      <w:pPr>
        <w:pStyle w:val="163"/>
        <w:ind w:left="0"/>
        <w:rPr>
          <w:rFonts w:ascii="黑体" w:hAnsi="黑体" w:eastAsia="黑体"/>
        </w:rPr>
      </w:pPr>
      <w:r>
        <w:rPr>
          <w:rFonts w:hint="eastAsia" w:ascii="黑体" w:hAnsi="黑体" w:eastAsia="黑体"/>
        </w:rPr>
        <w:t>鉴定流程</w:t>
      </w:r>
    </w:p>
    <w:p>
      <w:pPr>
        <w:pStyle w:val="57"/>
        <w:ind w:firstLine="420"/>
      </w:pPr>
      <w:r>
        <w:rPr>
          <w:rFonts w:hint="eastAsia"/>
        </w:rPr>
        <w:t>道路车辆类型鉴定流程包括：接受委托，了解涉案车辆基本情况和初步判断车辆类型，外观检验、确定鉴定方法和标准，实施检验鉴定。</w:t>
      </w:r>
    </w:p>
    <w:p>
      <w:pPr>
        <w:pStyle w:val="57"/>
        <w:ind w:firstLine="420"/>
      </w:pPr>
      <w:r>
        <w:rPr>
          <w:rFonts w:hint="eastAsia"/>
        </w:rPr>
        <w:t>鉴定流程参见图1。</w:t>
      </w:r>
    </w:p>
    <w:p>
      <w:pPr>
        <w:pStyle w:val="115"/>
        <w:numPr>
          <w:ilvl w:val="0"/>
          <w:numId w:val="0"/>
        </w:numPr>
        <w:spacing w:before="156" w:after="156"/>
      </w:pPr>
      <w:r>
        <w:object>
          <v:shape id="_x0000_i1025" o:spt="75" type="#_x0000_t75" style="height:545.95pt;width:416.55pt;" o:ole="t" filled="f" o:preferrelative="t" stroked="f" coordsize="21600,21600">
            <v:path/>
            <v:fill on="f" focussize="0,0"/>
            <v:stroke on="f" joinstyle="miter"/>
            <v:imagedata r:id="rId28" o:title=""/>
            <o:lock v:ext="edit" aspectratio="t"/>
            <w10:wrap type="none"/>
            <w10:anchorlock/>
          </v:shape>
          <o:OLEObject Type="Embed" ProgID="Visio.Drawing.15" ShapeID="_x0000_i1025" DrawAspect="Content" ObjectID="_1468075725" r:id="rId27">
            <o:LockedField>false</o:LockedField>
          </o:OLEObject>
        </w:object>
      </w:r>
    </w:p>
    <w:p>
      <w:pPr>
        <w:pStyle w:val="115"/>
        <w:spacing w:before="156" w:after="156"/>
      </w:pPr>
      <w:r>
        <w:rPr>
          <w:rFonts w:hint="eastAsia"/>
        </w:rPr>
        <w:t>道路车辆类型鉴定流程图</w:t>
      </w:r>
    </w:p>
    <w:p>
      <w:pPr>
        <w:pStyle w:val="163"/>
        <w:ind w:left="0"/>
        <w:rPr>
          <w:rFonts w:ascii="黑体" w:hAnsi="黑体" w:eastAsia="黑体"/>
        </w:rPr>
      </w:pPr>
      <w:bookmarkStart w:id="63" w:name="_Toc127884061"/>
      <w:r>
        <w:rPr>
          <w:rFonts w:ascii="黑体" w:hAnsi="黑体" w:eastAsia="黑体"/>
        </w:rPr>
        <w:t>外观检验</w:t>
      </w:r>
    </w:p>
    <w:p>
      <w:pPr>
        <w:pStyle w:val="225"/>
      </w:pPr>
      <w:r>
        <w:rPr>
          <w:rFonts w:hint="eastAsia"/>
        </w:rPr>
        <w:t>应检查车辆的品牌、型号、颜色、核定载人数、核定载质量、号牌、车架号、发动机号、电机号、驱动方式和驾驶方式等信息。</w:t>
      </w:r>
    </w:p>
    <w:p>
      <w:pPr>
        <w:pStyle w:val="225"/>
      </w:pPr>
      <w:r>
        <w:rPr>
          <w:rFonts w:hint="eastAsia"/>
        </w:rPr>
        <w:t>应检查车辆改装情况，测量车辆外廓尺寸和关键零部件尺寸。</w:t>
      </w:r>
    </w:p>
    <w:p>
      <w:pPr>
        <w:pStyle w:val="163"/>
        <w:ind w:left="0"/>
        <w:rPr>
          <w:rFonts w:ascii="黑体" w:hAnsi="黑体" w:eastAsia="黑体"/>
        </w:rPr>
      </w:pPr>
      <w:r>
        <w:rPr>
          <w:rFonts w:ascii="黑体" w:hAnsi="黑体" w:eastAsia="黑体"/>
        </w:rPr>
        <w:t>鉴定方法</w:t>
      </w:r>
    </w:p>
    <w:p>
      <w:pPr>
        <w:pStyle w:val="225"/>
      </w:pPr>
      <w:r>
        <w:rPr>
          <w:rFonts w:hint="eastAsia"/>
        </w:rPr>
        <w:t>鉴定人应针对鉴定的具体要求，根据鉴定材料、鉴定条件以及鉴定车辆的类型及状态等，确定具体的鉴定方案，并选择适应的鉴定方法。</w:t>
      </w:r>
    </w:p>
    <w:bookmarkEnd w:id="63"/>
    <w:p>
      <w:pPr>
        <w:pStyle w:val="225"/>
        <w:rPr>
          <w:rFonts w:ascii="黑体" w:hAnsi="黑体" w:eastAsia="黑体"/>
        </w:rPr>
      </w:pPr>
      <w:r>
        <w:rPr>
          <w:rFonts w:hint="eastAsia" w:ascii="黑体" w:hAnsi="黑体" w:eastAsia="黑体"/>
        </w:rPr>
        <w:t>电动自行车鉴定</w:t>
      </w:r>
    </w:p>
    <w:p>
      <w:pPr>
        <w:pStyle w:val="57"/>
        <w:ind w:firstLine="420"/>
      </w:pPr>
      <w:r>
        <w:rPr>
          <w:rFonts w:hint="eastAsia"/>
        </w:rPr>
        <w:t>电动自行车安全技术检验鉴定应符合GB</w:t>
      </w:r>
      <w:r>
        <w:t xml:space="preserve"> 17761</w:t>
      </w:r>
      <w:r>
        <w:rPr>
          <w:rFonts w:hint="eastAsia"/>
        </w:rPr>
        <w:t>的规定，以检视和查阅材料为主，鉴定项目、技术要求、方法应符合表1</w:t>
      </w:r>
      <w:r>
        <w:t xml:space="preserve"> </w:t>
      </w:r>
      <w:r>
        <w:rPr>
          <w:rFonts w:hint="eastAsia"/>
        </w:rPr>
        <w:t>的规定。如无法通过检视和查阅材料确定，应辅以检测方法。</w:t>
      </w:r>
    </w:p>
    <w:p>
      <w:pPr>
        <w:pStyle w:val="113"/>
        <w:spacing w:before="156" w:after="156"/>
      </w:pPr>
      <w:r>
        <w:rPr>
          <w:rFonts w:hint="eastAsia"/>
        </w:rPr>
        <w:t>电动自行车鉴定项目、技术要求、方法</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577"/>
        <w:gridCol w:w="2127"/>
        <w:gridCol w:w="4394"/>
        <w:gridCol w:w="227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577" w:type="dxa"/>
            <w:tcBorders>
              <w:top w:val="single" w:color="auto" w:sz="8" w:space="0"/>
              <w:bottom w:val="single" w:color="auto" w:sz="8" w:space="0"/>
            </w:tcBorders>
            <w:shd w:val="clear" w:color="auto" w:fill="auto"/>
            <w:vAlign w:val="center"/>
          </w:tcPr>
          <w:p>
            <w:pPr>
              <w:pStyle w:val="179"/>
            </w:pPr>
            <w:r>
              <w:rPr>
                <w:rFonts w:hint="eastAsia"/>
              </w:rPr>
              <w:t>序号</w:t>
            </w:r>
          </w:p>
        </w:tc>
        <w:tc>
          <w:tcPr>
            <w:tcW w:w="2127" w:type="dxa"/>
            <w:tcBorders>
              <w:top w:val="single" w:color="auto" w:sz="8" w:space="0"/>
              <w:bottom w:val="single" w:color="auto" w:sz="8" w:space="0"/>
            </w:tcBorders>
            <w:shd w:val="clear" w:color="auto" w:fill="auto"/>
            <w:vAlign w:val="center"/>
          </w:tcPr>
          <w:p>
            <w:pPr>
              <w:pStyle w:val="179"/>
            </w:pPr>
            <w:r>
              <w:rPr>
                <w:rFonts w:hint="eastAsia"/>
              </w:rPr>
              <w:t>鉴定项目</w:t>
            </w:r>
          </w:p>
        </w:tc>
        <w:tc>
          <w:tcPr>
            <w:tcW w:w="4394" w:type="dxa"/>
            <w:tcBorders>
              <w:top w:val="single" w:color="auto" w:sz="8" w:space="0"/>
              <w:bottom w:val="single" w:color="auto" w:sz="8" w:space="0"/>
            </w:tcBorders>
            <w:shd w:val="clear" w:color="auto" w:fill="auto"/>
            <w:vAlign w:val="center"/>
          </w:tcPr>
          <w:p>
            <w:pPr>
              <w:pStyle w:val="179"/>
            </w:pPr>
            <w:r>
              <w:rPr>
                <w:rFonts w:hint="eastAsia"/>
              </w:rPr>
              <w:t>技术要求</w:t>
            </w:r>
          </w:p>
        </w:tc>
        <w:tc>
          <w:tcPr>
            <w:tcW w:w="2276" w:type="dxa"/>
            <w:tcBorders>
              <w:top w:val="single" w:color="auto" w:sz="8" w:space="0"/>
              <w:bottom w:val="single" w:color="auto" w:sz="8" w:space="0"/>
            </w:tcBorders>
            <w:shd w:val="clear" w:color="auto" w:fill="auto"/>
            <w:vAlign w:val="center"/>
          </w:tcPr>
          <w:p>
            <w:pPr>
              <w:pStyle w:val="179"/>
            </w:pPr>
            <w:r>
              <w:rPr>
                <w:rFonts w:hint="eastAsia"/>
              </w:rPr>
              <w:t>检查方法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77" w:type="dxa"/>
            <w:tcBorders>
              <w:top w:val="single" w:color="auto" w:sz="8" w:space="0"/>
            </w:tcBorders>
            <w:shd w:val="clear" w:color="auto" w:fill="auto"/>
            <w:vAlign w:val="center"/>
          </w:tcPr>
          <w:p>
            <w:pPr>
              <w:pStyle w:val="179"/>
            </w:pPr>
            <w:r>
              <w:rPr>
                <w:rFonts w:hint="eastAsia"/>
              </w:rPr>
              <w:t>1</w:t>
            </w:r>
          </w:p>
        </w:tc>
        <w:tc>
          <w:tcPr>
            <w:tcW w:w="2127" w:type="dxa"/>
            <w:tcBorders>
              <w:top w:val="single" w:color="auto" w:sz="8" w:space="0"/>
            </w:tcBorders>
            <w:shd w:val="clear" w:color="auto" w:fill="auto"/>
            <w:vAlign w:val="center"/>
          </w:tcPr>
          <w:p>
            <w:pPr>
              <w:pStyle w:val="179"/>
            </w:pPr>
            <w:r>
              <w:rPr>
                <w:rFonts w:hint="eastAsia"/>
              </w:rPr>
              <w:t>脚踏骑行能力</w:t>
            </w:r>
          </w:p>
        </w:tc>
        <w:tc>
          <w:tcPr>
            <w:tcW w:w="4394" w:type="dxa"/>
            <w:tcBorders>
              <w:top w:val="single" w:color="auto" w:sz="8" w:space="0"/>
            </w:tcBorders>
            <w:shd w:val="clear" w:color="auto" w:fill="auto"/>
            <w:vAlign w:val="center"/>
          </w:tcPr>
          <w:p>
            <w:pPr>
              <w:pStyle w:val="179"/>
            </w:pPr>
            <w:r>
              <w:rPr>
                <w:rFonts w:hint="eastAsia"/>
              </w:rPr>
              <w:t>具备脚踏骑行能力</w:t>
            </w:r>
          </w:p>
        </w:tc>
        <w:tc>
          <w:tcPr>
            <w:tcW w:w="2276" w:type="dxa"/>
            <w:tcBorders>
              <w:top w:val="single" w:color="auto" w:sz="8" w:space="0"/>
            </w:tcBorders>
            <w:shd w:val="clear" w:color="auto" w:fill="auto"/>
            <w:vAlign w:val="center"/>
          </w:tcPr>
          <w:p>
            <w:pPr>
              <w:pStyle w:val="179"/>
            </w:pPr>
            <w:r>
              <w:rPr>
                <w:rFonts w:hint="eastAsia"/>
              </w:rPr>
              <w:t>检视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77" w:type="dxa"/>
            <w:shd w:val="clear" w:color="auto" w:fill="auto"/>
            <w:vAlign w:val="center"/>
          </w:tcPr>
          <w:p>
            <w:pPr>
              <w:pStyle w:val="179"/>
            </w:pPr>
            <w:r>
              <w:rPr>
                <w:rFonts w:hint="eastAsia"/>
              </w:rPr>
              <w:t>2</w:t>
            </w:r>
          </w:p>
        </w:tc>
        <w:tc>
          <w:tcPr>
            <w:tcW w:w="2127" w:type="dxa"/>
            <w:shd w:val="clear" w:color="auto" w:fill="auto"/>
            <w:vAlign w:val="center"/>
          </w:tcPr>
          <w:p>
            <w:pPr>
              <w:pStyle w:val="179"/>
            </w:pPr>
            <w:r>
              <w:rPr>
                <w:rFonts w:hint="eastAsia"/>
              </w:rPr>
              <w:t>电驱动/电助动功能</w:t>
            </w:r>
          </w:p>
        </w:tc>
        <w:tc>
          <w:tcPr>
            <w:tcW w:w="4394" w:type="dxa"/>
            <w:shd w:val="clear" w:color="auto" w:fill="auto"/>
            <w:vAlign w:val="center"/>
          </w:tcPr>
          <w:p>
            <w:pPr>
              <w:pStyle w:val="179"/>
            </w:pPr>
            <w:r>
              <w:rPr>
                <w:rFonts w:hint="eastAsia"/>
              </w:rPr>
              <w:t>具有电驱动或/和电助动功能</w:t>
            </w:r>
          </w:p>
        </w:tc>
        <w:tc>
          <w:tcPr>
            <w:tcW w:w="2276" w:type="dxa"/>
            <w:shd w:val="clear" w:color="auto" w:fill="auto"/>
            <w:vAlign w:val="center"/>
          </w:tcPr>
          <w:p>
            <w:pPr>
              <w:pStyle w:val="179"/>
            </w:pPr>
            <w:r>
              <w:rPr>
                <w:rFonts w:hint="eastAsia"/>
              </w:rPr>
              <w:t>检视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3" w:hRule="atLeast"/>
          <w:jc w:val="center"/>
        </w:trPr>
        <w:tc>
          <w:tcPr>
            <w:tcW w:w="577" w:type="dxa"/>
            <w:vMerge w:val="restart"/>
            <w:shd w:val="clear" w:color="auto" w:fill="auto"/>
            <w:vAlign w:val="center"/>
          </w:tcPr>
          <w:p>
            <w:pPr>
              <w:pStyle w:val="179"/>
            </w:pPr>
            <w:r>
              <w:rPr>
                <w:rFonts w:hint="eastAsia"/>
              </w:rPr>
              <w:t>3</w:t>
            </w:r>
          </w:p>
        </w:tc>
        <w:tc>
          <w:tcPr>
            <w:tcW w:w="2127" w:type="dxa"/>
            <w:vMerge w:val="restart"/>
            <w:shd w:val="clear" w:color="auto" w:fill="auto"/>
            <w:vAlign w:val="center"/>
          </w:tcPr>
          <w:p>
            <w:pPr>
              <w:pStyle w:val="179"/>
            </w:pPr>
            <w:r>
              <w:rPr>
                <w:rFonts w:hint="eastAsia"/>
              </w:rPr>
              <w:t>速度</w:t>
            </w:r>
          </w:p>
        </w:tc>
        <w:tc>
          <w:tcPr>
            <w:tcW w:w="4394" w:type="dxa"/>
            <w:shd w:val="clear" w:color="auto" w:fill="auto"/>
            <w:vAlign w:val="center"/>
          </w:tcPr>
          <w:p>
            <w:pPr>
              <w:pStyle w:val="179"/>
            </w:pPr>
            <w:r>
              <w:rPr>
                <w:rFonts w:hint="eastAsia"/>
              </w:rPr>
              <w:t>电驱动时，最高设计车速不超过2</w:t>
            </w:r>
            <w:r>
              <w:t xml:space="preserve">5 </w:t>
            </w:r>
            <w:r>
              <w:rPr>
                <w:rFonts w:hint="eastAsia"/>
              </w:rPr>
              <w:t>km</w:t>
            </w:r>
            <w:r>
              <w:t>/h</w:t>
            </w:r>
          </w:p>
        </w:tc>
        <w:tc>
          <w:tcPr>
            <w:tcW w:w="2276" w:type="dxa"/>
            <w:vMerge w:val="restart"/>
            <w:shd w:val="clear" w:color="auto" w:fill="auto"/>
            <w:vAlign w:val="center"/>
          </w:tcPr>
          <w:p>
            <w:pPr>
              <w:pStyle w:val="179"/>
            </w:pPr>
            <w:r>
              <w:rPr>
                <w:rFonts w:hint="eastAsia"/>
              </w:rPr>
              <w:t>查阅材料，检测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3" w:hRule="atLeast"/>
          <w:jc w:val="center"/>
        </w:trPr>
        <w:tc>
          <w:tcPr>
            <w:tcW w:w="577" w:type="dxa"/>
            <w:vMerge w:val="continue"/>
            <w:shd w:val="clear" w:color="auto" w:fill="auto"/>
            <w:vAlign w:val="center"/>
          </w:tcPr>
          <w:p>
            <w:pPr>
              <w:pStyle w:val="179"/>
            </w:pPr>
          </w:p>
        </w:tc>
        <w:tc>
          <w:tcPr>
            <w:tcW w:w="2127" w:type="dxa"/>
            <w:vMerge w:val="continue"/>
            <w:shd w:val="clear" w:color="auto" w:fill="auto"/>
            <w:vAlign w:val="center"/>
          </w:tcPr>
          <w:p>
            <w:pPr>
              <w:pStyle w:val="179"/>
            </w:pPr>
          </w:p>
        </w:tc>
        <w:tc>
          <w:tcPr>
            <w:tcW w:w="4394" w:type="dxa"/>
            <w:shd w:val="clear" w:color="auto" w:fill="auto"/>
            <w:vAlign w:val="center"/>
          </w:tcPr>
          <w:p>
            <w:pPr>
              <w:pStyle w:val="179"/>
            </w:pPr>
            <w:r>
              <w:rPr>
                <w:rFonts w:hint="eastAsia"/>
              </w:rPr>
              <w:t>电助动时，车速超过2</w:t>
            </w:r>
            <w:r>
              <w:t xml:space="preserve">5 </w:t>
            </w:r>
            <w:r>
              <w:rPr>
                <w:rFonts w:hint="eastAsia"/>
              </w:rPr>
              <w:t>km</w:t>
            </w:r>
            <w:r>
              <w:t>/h</w:t>
            </w:r>
            <w:r>
              <w:rPr>
                <w:rFonts w:hint="eastAsia"/>
              </w:rPr>
              <w:t>，电动机不提供动力输出</w:t>
            </w:r>
          </w:p>
        </w:tc>
        <w:tc>
          <w:tcPr>
            <w:tcW w:w="2276" w:type="dxa"/>
            <w:vMerge w:val="continue"/>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77" w:type="dxa"/>
            <w:shd w:val="clear" w:color="auto" w:fill="auto"/>
            <w:vAlign w:val="center"/>
          </w:tcPr>
          <w:p>
            <w:pPr>
              <w:pStyle w:val="179"/>
            </w:pPr>
            <w:r>
              <w:rPr>
                <w:rFonts w:hint="eastAsia"/>
              </w:rPr>
              <w:t>4</w:t>
            </w:r>
          </w:p>
        </w:tc>
        <w:tc>
          <w:tcPr>
            <w:tcW w:w="2127" w:type="dxa"/>
            <w:shd w:val="clear" w:color="auto" w:fill="auto"/>
            <w:vAlign w:val="center"/>
          </w:tcPr>
          <w:p>
            <w:pPr>
              <w:pStyle w:val="179"/>
            </w:pPr>
            <w:r>
              <w:rPr>
                <w:rFonts w:hint="eastAsia"/>
              </w:rPr>
              <w:t>整车质量</w:t>
            </w:r>
          </w:p>
        </w:tc>
        <w:tc>
          <w:tcPr>
            <w:tcW w:w="4394" w:type="dxa"/>
            <w:shd w:val="clear" w:color="auto" w:fill="auto"/>
            <w:vAlign w:val="center"/>
          </w:tcPr>
          <w:p>
            <w:pPr>
              <w:pStyle w:val="179"/>
            </w:pPr>
            <w:r>
              <w:rPr>
                <w:rFonts w:hint="eastAsia"/>
              </w:rPr>
              <w:t>装配完整的电动自行车的整车质量≤5</w:t>
            </w:r>
            <w:r>
              <w:t xml:space="preserve">5 </w:t>
            </w:r>
            <w:r>
              <w:rPr>
                <w:rFonts w:hint="eastAsia"/>
              </w:rPr>
              <w:t>kg</w:t>
            </w:r>
          </w:p>
        </w:tc>
        <w:tc>
          <w:tcPr>
            <w:tcW w:w="2276" w:type="dxa"/>
            <w:shd w:val="clear" w:color="auto" w:fill="auto"/>
            <w:vAlign w:val="center"/>
          </w:tcPr>
          <w:p>
            <w:pPr>
              <w:pStyle w:val="179"/>
            </w:pPr>
            <w:r>
              <w:rPr>
                <w:rFonts w:hint="eastAsia"/>
              </w:rPr>
              <w:t>查阅材料，检测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77" w:type="dxa"/>
            <w:shd w:val="clear" w:color="auto" w:fill="auto"/>
            <w:vAlign w:val="center"/>
          </w:tcPr>
          <w:p>
            <w:pPr>
              <w:pStyle w:val="179"/>
            </w:pPr>
            <w:r>
              <w:rPr>
                <w:rFonts w:hint="eastAsia"/>
              </w:rPr>
              <w:t>5</w:t>
            </w:r>
          </w:p>
        </w:tc>
        <w:tc>
          <w:tcPr>
            <w:tcW w:w="2127" w:type="dxa"/>
            <w:shd w:val="clear" w:color="auto" w:fill="auto"/>
            <w:vAlign w:val="center"/>
          </w:tcPr>
          <w:p>
            <w:pPr>
              <w:pStyle w:val="179"/>
            </w:pPr>
            <w:r>
              <w:rPr>
                <w:rFonts w:hint="eastAsia"/>
              </w:rPr>
              <w:t>蓄电池标称电压</w:t>
            </w:r>
          </w:p>
        </w:tc>
        <w:tc>
          <w:tcPr>
            <w:tcW w:w="4394" w:type="dxa"/>
            <w:shd w:val="clear" w:color="auto" w:fill="auto"/>
            <w:vAlign w:val="center"/>
          </w:tcPr>
          <w:p>
            <w:pPr>
              <w:pStyle w:val="179"/>
            </w:pPr>
            <w:r>
              <w:rPr>
                <w:rFonts w:hint="eastAsia"/>
              </w:rPr>
              <w:t>≤4</w:t>
            </w:r>
            <w:r>
              <w:t xml:space="preserve">8 </w:t>
            </w:r>
            <w:r>
              <w:rPr>
                <w:rFonts w:hint="eastAsia"/>
              </w:rPr>
              <w:t>V</w:t>
            </w:r>
          </w:p>
        </w:tc>
        <w:tc>
          <w:tcPr>
            <w:tcW w:w="2276" w:type="dxa"/>
            <w:shd w:val="clear" w:color="auto" w:fill="auto"/>
            <w:vAlign w:val="center"/>
          </w:tcPr>
          <w:p>
            <w:pPr>
              <w:pStyle w:val="179"/>
            </w:pPr>
            <w:r>
              <w:rPr>
                <w:rFonts w:hint="eastAsia"/>
              </w:rPr>
              <w:t>查阅材料，检测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77" w:type="dxa"/>
            <w:shd w:val="clear" w:color="auto" w:fill="auto"/>
            <w:vAlign w:val="center"/>
          </w:tcPr>
          <w:p>
            <w:pPr>
              <w:pStyle w:val="179"/>
            </w:pPr>
            <w:r>
              <w:rPr>
                <w:rFonts w:hint="eastAsia"/>
              </w:rPr>
              <w:t>6</w:t>
            </w:r>
          </w:p>
        </w:tc>
        <w:tc>
          <w:tcPr>
            <w:tcW w:w="2127" w:type="dxa"/>
            <w:shd w:val="clear" w:color="auto" w:fill="auto"/>
            <w:vAlign w:val="center"/>
          </w:tcPr>
          <w:p>
            <w:pPr>
              <w:pStyle w:val="179"/>
            </w:pPr>
            <w:r>
              <w:rPr>
                <w:rFonts w:hint="eastAsia"/>
              </w:rPr>
              <w:t>电动机额定连续输出功率</w:t>
            </w:r>
          </w:p>
        </w:tc>
        <w:tc>
          <w:tcPr>
            <w:tcW w:w="4394" w:type="dxa"/>
            <w:shd w:val="clear" w:color="auto" w:fill="auto"/>
            <w:vAlign w:val="center"/>
          </w:tcPr>
          <w:p>
            <w:pPr>
              <w:pStyle w:val="179"/>
            </w:pPr>
            <w:r>
              <w:rPr>
                <w:rFonts w:hint="eastAsia"/>
              </w:rPr>
              <w:t>≤</w:t>
            </w:r>
            <w:r>
              <w:t xml:space="preserve">400 </w:t>
            </w:r>
            <w:r>
              <w:rPr>
                <w:rFonts w:hint="eastAsia"/>
              </w:rPr>
              <w:t>W</w:t>
            </w:r>
          </w:p>
        </w:tc>
        <w:tc>
          <w:tcPr>
            <w:tcW w:w="2276" w:type="dxa"/>
            <w:shd w:val="clear" w:color="auto" w:fill="auto"/>
            <w:vAlign w:val="center"/>
          </w:tcPr>
          <w:p>
            <w:pPr>
              <w:pStyle w:val="179"/>
            </w:pPr>
            <w:r>
              <w:rPr>
                <w:rFonts w:hint="eastAsia"/>
              </w:rPr>
              <w:t>查阅材料，检测</w:t>
            </w:r>
          </w:p>
        </w:tc>
      </w:tr>
    </w:tbl>
    <w:p>
      <w:pPr>
        <w:pStyle w:val="225"/>
        <w:rPr>
          <w:rFonts w:ascii="黑体" w:hAnsi="黑体" w:eastAsia="黑体"/>
        </w:rPr>
      </w:pPr>
      <w:r>
        <w:rPr>
          <w:rFonts w:hint="eastAsia" w:ascii="黑体" w:hAnsi="黑体" w:eastAsia="黑体"/>
        </w:rPr>
        <w:t>机动轮椅车鉴定</w:t>
      </w:r>
    </w:p>
    <w:p>
      <w:pPr>
        <w:pStyle w:val="57"/>
        <w:ind w:firstLine="420"/>
      </w:pPr>
      <w:r>
        <w:rPr>
          <w:rFonts w:hint="eastAsia"/>
        </w:rPr>
        <w:t>机动轮椅车安全技术检验鉴定应符合GB</w:t>
      </w:r>
      <w:r>
        <w:t xml:space="preserve"> 12995</w:t>
      </w:r>
      <w:r>
        <w:rPr>
          <w:rFonts w:hint="eastAsia"/>
        </w:rPr>
        <w:t>的规定，以检视和查阅材料为主，鉴定项目、技术要求、方法应符合表2</w:t>
      </w:r>
      <w:r>
        <w:t xml:space="preserve"> </w:t>
      </w:r>
      <w:r>
        <w:rPr>
          <w:rFonts w:hint="eastAsia"/>
        </w:rPr>
        <w:t>的规定。如无法通过检视和查阅材料确定，应辅以检测方法。</w:t>
      </w:r>
    </w:p>
    <w:p>
      <w:pPr>
        <w:pStyle w:val="113"/>
        <w:spacing w:before="156" w:after="156"/>
      </w:pPr>
      <w:r>
        <w:rPr>
          <w:rFonts w:hint="eastAsia"/>
        </w:rPr>
        <w:t>机动轮椅车鉴定项目、技术要求、方法</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577"/>
        <w:gridCol w:w="1560"/>
        <w:gridCol w:w="4961"/>
        <w:gridCol w:w="227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577" w:type="dxa"/>
            <w:tcBorders>
              <w:top w:val="single" w:color="auto" w:sz="8" w:space="0"/>
              <w:bottom w:val="single" w:color="auto" w:sz="8" w:space="0"/>
            </w:tcBorders>
            <w:shd w:val="clear" w:color="auto" w:fill="auto"/>
            <w:vAlign w:val="center"/>
          </w:tcPr>
          <w:p>
            <w:pPr>
              <w:pStyle w:val="179"/>
            </w:pPr>
            <w:r>
              <w:rPr>
                <w:rFonts w:hint="eastAsia"/>
              </w:rPr>
              <w:t>序号</w:t>
            </w:r>
          </w:p>
        </w:tc>
        <w:tc>
          <w:tcPr>
            <w:tcW w:w="1560" w:type="dxa"/>
            <w:tcBorders>
              <w:top w:val="single" w:color="auto" w:sz="8" w:space="0"/>
              <w:bottom w:val="single" w:color="auto" w:sz="8" w:space="0"/>
            </w:tcBorders>
            <w:shd w:val="clear" w:color="auto" w:fill="auto"/>
            <w:vAlign w:val="center"/>
          </w:tcPr>
          <w:p>
            <w:pPr>
              <w:pStyle w:val="179"/>
            </w:pPr>
            <w:r>
              <w:rPr>
                <w:rFonts w:hint="eastAsia"/>
              </w:rPr>
              <w:t>鉴定项目</w:t>
            </w:r>
          </w:p>
        </w:tc>
        <w:tc>
          <w:tcPr>
            <w:tcW w:w="4961" w:type="dxa"/>
            <w:tcBorders>
              <w:top w:val="single" w:color="auto" w:sz="8" w:space="0"/>
              <w:bottom w:val="single" w:color="auto" w:sz="8" w:space="0"/>
            </w:tcBorders>
            <w:shd w:val="clear" w:color="auto" w:fill="auto"/>
            <w:vAlign w:val="center"/>
          </w:tcPr>
          <w:p>
            <w:pPr>
              <w:pStyle w:val="179"/>
            </w:pPr>
            <w:r>
              <w:rPr>
                <w:rFonts w:hint="eastAsia"/>
              </w:rPr>
              <w:t>技术要求</w:t>
            </w:r>
          </w:p>
        </w:tc>
        <w:tc>
          <w:tcPr>
            <w:tcW w:w="2276" w:type="dxa"/>
            <w:tcBorders>
              <w:top w:val="single" w:color="auto" w:sz="8" w:space="0"/>
              <w:bottom w:val="single" w:color="auto" w:sz="8" w:space="0"/>
            </w:tcBorders>
            <w:shd w:val="clear" w:color="auto" w:fill="auto"/>
            <w:vAlign w:val="center"/>
          </w:tcPr>
          <w:p>
            <w:pPr>
              <w:pStyle w:val="179"/>
            </w:pPr>
            <w:r>
              <w:rPr>
                <w:rFonts w:hint="eastAsia"/>
              </w:rPr>
              <w:t>检查方法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77" w:type="dxa"/>
            <w:tcBorders>
              <w:top w:val="single" w:color="auto" w:sz="8" w:space="0"/>
            </w:tcBorders>
            <w:shd w:val="clear" w:color="auto" w:fill="auto"/>
            <w:vAlign w:val="center"/>
          </w:tcPr>
          <w:p>
            <w:pPr>
              <w:pStyle w:val="179"/>
            </w:pPr>
            <w:r>
              <w:rPr>
                <w:rFonts w:hint="eastAsia"/>
              </w:rPr>
              <w:t>1</w:t>
            </w:r>
          </w:p>
        </w:tc>
        <w:tc>
          <w:tcPr>
            <w:tcW w:w="1560" w:type="dxa"/>
            <w:tcBorders>
              <w:top w:val="single" w:color="auto" w:sz="8" w:space="0"/>
            </w:tcBorders>
            <w:shd w:val="clear" w:color="auto" w:fill="auto"/>
            <w:vAlign w:val="center"/>
          </w:tcPr>
          <w:p>
            <w:pPr>
              <w:pStyle w:val="179"/>
            </w:pPr>
            <w:r>
              <w:t>驱动方式</w:t>
            </w:r>
          </w:p>
        </w:tc>
        <w:tc>
          <w:tcPr>
            <w:tcW w:w="4961" w:type="dxa"/>
            <w:tcBorders>
              <w:top w:val="single" w:color="auto" w:sz="8" w:space="0"/>
            </w:tcBorders>
            <w:shd w:val="clear" w:color="auto" w:fill="auto"/>
            <w:vAlign w:val="center"/>
          </w:tcPr>
          <w:p>
            <w:pPr>
              <w:pStyle w:val="179"/>
            </w:pPr>
            <w:r>
              <w:rPr>
                <w:rFonts w:hint="eastAsia"/>
              </w:rPr>
              <w:t>汽油机</w:t>
            </w:r>
          </w:p>
        </w:tc>
        <w:tc>
          <w:tcPr>
            <w:tcW w:w="2276" w:type="dxa"/>
            <w:tcBorders>
              <w:top w:val="single" w:color="auto" w:sz="8" w:space="0"/>
            </w:tcBorders>
            <w:shd w:val="clear" w:color="auto" w:fill="auto"/>
            <w:vAlign w:val="center"/>
          </w:tcPr>
          <w:p>
            <w:pPr>
              <w:pStyle w:val="179"/>
            </w:pPr>
            <w:r>
              <w:rPr>
                <w:rFonts w:hint="eastAsia"/>
              </w:rPr>
              <w:t>检视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05" w:hRule="atLeast"/>
          <w:jc w:val="center"/>
        </w:trPr>
        <w:tc>
          <w:tcPr>
            <w:tcW w:w="577" w:type="dxa"/>
            <w:vMerge w:val="restart"/>
            <w:shd w:val="clear" w:color="auto" w:fill="auto"/>
            <w:vAlign w:val="center"/>
          </w:tcPr>
          <w:p>
            <w:pPr>
              <w:pStyle w:val="179"/>
            </w:pPr>
            <w:r>
              <w:rPr>
                <w:rFonts w:hint="eastAsia"/>
              </w:rPr>
              <w:t>2</w:t>
            </w:r>
          </w:p>
        </w:tc>
        <w:tc>
          <w:tcPr>
            <w:tcW w:w="1560" w:type="dxa"/>
            <w:vMerge w:val="restart"/>
            <w:shd w:val="clear" w:color="auto" w:fill="auto"/>
            <w:vAlign w:val="center"/>
          </w:tcPr>
          <w:p>
            <w:pPr>
              <w:pStyle w:val="179"/>
            </w:pPr>
            <w:r>
              <w:t>名义排量</w:t>
            </w:r>
          </w:p>
        </w:tc>
        <w:tc>
          <w:tcPr>
            <w:tcW w:w="4961" w:type="dxa"/>
            <w:shd w:val="clear" w:color="auto" w:fill="auto"/>
            <w:vAlign w:val="center"/>
          </w:tcPr>
          <w:p>
            <w:pPr>
              <w:pStyle w:val="179"/>
            </w:pPr>
            <w:r>
              <w:rPr>
                <w:rFonts w:hint="eastAsia"/>
              </w:rPr>
              <w:t>轻椅车：小于等于50mL</w:t>
            </w:r>
          </w:p>
        </w:tc>
        <w:tc>
          <w:tcPr>
            <w:tcW w:w="2276" w:type="dxa"/>
            <w:vMerge w:val="restart"/>
            <w:shd w:val="clear" w:color="auto" w:fill="auto"/>
            <w:vAlign w:val="center"/>
          </w:tcPr>
          <w:p>
            <w:pPr>
              <w:pStyle w:val="179"/>
            </w:pPr>
            <w:r>
              <w:rPr>
                <w:rFonts w:hint="eastAsia"/>
              </w:rPr>
              <w:t>查阅材料，检测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05" w:hRule="atLeast"/>
          <w:jc w:val="center"/>
        </w:trPr>
        <w:tc>
          <w:tcPr>
            <w:tcW w:w="577" w:type="dxa"/>
            <w:vMerge w:val="continue"/>
            <w:shd w:val="clear" w:color="auto" w:fill="auto"/>
            <w:vAlign w:val="center"/>
          </w:tcPr>
          <w:p>
            <w:pPr>
              <w:pStyle w:val="179"/>
            </w:pPr>
          </w:p>
        </w:tc>
        <w:tc>
          <w:tcPr>
            <w:tcW w:w="1560" w:type="dxa"/>
            <w:vMerge w:val="continue"/>
            <w:shd w:val="clear" w:color="auto" w:fill="auto"/>
            <w:vAlign w:val="center"/>
          </w:tcPr>
          <w:p>
            <w:pPr>
              <w:pStyle w:val="179"/>
            </w:pPr>
          </w:p>
        </w:tc>
        <w:tc>
          <w:tcPr>
            <w:tcW w:w="4961" w:type="dxa"/>
            <w:shd w:val="clear" w:color="auto" w:fill="auto"/>
            <w:vAlign w:val="center"/>
          </w:tcPr>
          <w:p>
            <w:pPr>
              <w:pStyle w:val="179"/>
            </w:pPr>
            <w:r>
              <w:rPr>
                <w:rFonts w:hint="eastAsia"/>
              </w:rPr>
              <w:t>普椅车：大于50mL小于等于150mL</w:t>
            </w:r>
          </w:p>
        </w:tc>
        <w:tc>
          <w:tcPr>
            <w:tcW w:w="2276" w:type="dxa"/>
            <w:vMerge w:val="continue"/>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77" w:type="dxa"/>
            <w:shd w:val="clear" w:color="auto" w:fill="auto"/>
            <w:vAlign w:val="center"/>
          </w:tcPr>
          <w:p>
            <w:pPr>
              <w:pStyle w:val="179"/>
            </w:pPr>
            <w:r>
              <w:rPr>
                <w:rFonts w:hint="eastAsia"/>
              </w:rPr>
              <w:t>3</w:t>
            </w:r>
          </w:p>
        </w:tc>
        <w:tc>
          <w:tcPr>
            <w:tcW w:w="1560" w:type="dxa"/>
            <w:shd w:val="clear" w:color="auto" w:fill="auto"/>
            <w:vAlign w:val="center"/>
          </w:tcPr>
          <w:p>
            <w:pPr>
              <w:pStyle w:val="179"/>
            </w:pPr>
            <w:r>
              <w:rPr>
                <w:rFonts w:hint="eastAsia"/>
              </w:rPr>
              <w:t>最高设计车速</w:t>
            </w:r>
          </w:p>
        </w:tc>
        <w:tc>
          <w:tcPr>
            <w:tcW w:w="4961" w:type="dxa"/>
            <w:shd w:val="clear" w:color="auto" w:fill="auto"/>
            <w:vAlign w:val="center"/>
          </w:tcPr>
          <w:p>
            <w:pPr>
              <w:pStyle w:val="179"/>
            </w:pPr>
            <w:r>
              <w:rPr>
                <w:rFonts w:hint="eastAsia"/>
              </w:rPr>
              <w:t>不超过50</w:t>
            </w:r>
            <w:r>
              <w:t xml:space="preserve"> </w:t>
            </w:r>
            <w:r>
              <w:rPr>
                <w:rFonts w:hint="eastAsia"/>
              </w:rPr>
              <w:t>km</w:t>
            </w:r>
            <w:r>
              <w:t>/h</w:t>
            </w:r>
          </w:p>
        </w:tc>
        <w:tc>
          <w:tcPr>
            <w:tcW w:w="2276" w:type="dxa"/>
            <w:shd w:val="clear" w:color="auto" w:fill="auto"/>
            <w:vAlign w:val="center"/>
          </w:tcPr>
          <w:p>
            <w:pPr>
              <w:pStyle w:val="179"/>
            </w:pPr>
            <w:r>
              <w:rPr>
                <w:rFonts w:hint="eastAsia"/>
              </w:rPr>
              <w:t>查阅材料，检测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05" w:hRule="atLeast"/>
          <w:jc w:val="center"/>
        </w:trPr>
        <w:tc>
          <w:tcPr>
            <w:tcW w:w="577" w:type="dxa"/>
            <w:vMerge w:val="restart"/>
            <w:shd w:val="clear" w:color="auto" w:fill="auto"/>
            <w:vAlign w:val="center"/>
          </w:tcPr>
          <w:p>
            <w:pPr>
              <w:pStyle w:val="179"/>
            </w:pPr>
            <w:r>
              <w:rPr>
                <w:rFonts w:hint="eastAsia"/>
              </w:rPr>
              <w:t>4</w:t>
            </w:r>
          </w:p>
        </w:tc>
        <w:tc>
          <w:tcPr>
            <w:tcW w:w="1560" w:type="dxa"/>
            <w:vMerge w:val="restart"/>
            <w:shd w:val="clear" w:color="auto" w:fill="auto"/>
            <w:vAlign w:val="center"/>
          </w:tcPr>
          <w:p>
            <w:pPr>
              <w:pStyle w:val="179"/>
            </w:pPr>
            <w:r>
              <w:t>外廓尺寸</w:t>
            </w:r>
          </w:p>
        </w:tc>
        <w:tc>
          <w:tcPr>
            <w:tcW w:w="4961" w:type="dxa"/>
            <w:shd w:val="clear" w:color="auto" w:fill="auto"/>
            <w:vAlign w:val="center"/>
          </w:tcPr>
          <w:p>
            <w:pPr>
              <w:pStyle w:val="179"/>
            </w:pPr>
            <w:r>
              <w:rPr>
                <w:rFonts w:hint="eastAsia"/>
              </w:rPr>
              <w:t>轻椅车：≤2000 mm×1000 mm×1200 mm(长×宽×高)</w:t>
            </w:r>
          </w:p>
        </w:tc>
        <w:tc>
          <w:tcPr>
            <w:tcW w:w="2276" w:type="dxa"/>
            <w:vMerge w:val="restart"/>
            <w:shd w:val="clear" w:color="auto" w:fill="auto"/>
            <w:vAlign w:val="center"/>
          </w:tcPr>
          <w:p>
            <w:pPr>
              <w:pStyle w:val="179"/>
            </w:pPr>
            <w:r>
              <w:t>检测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05" w:hRule="atLeast"/>
          <w:jc w:val="center"/>
        </w:trPr>
        <w:tc>
          <w:tcPr>
            <w:tcW w:w="577" w:type="dxa"/>
            <w:vMerge w:val="continue"/>
            <w:shd w:val="clear" w:color="auto" w:fill="auto"/>
            <w:vAlign w:val="center"/>
          </w:tcPr>
          <w:p>
            <w:pPr>
              <w:pStyle w:val="179"/>
            </w:pPr>
          </w:p>
        </w:tc>
        <w:tc>
          <w:tcPr>
            <w:tcW w:w="1560" w:type="dxa"/>
            <w:vMerge w:val="continue"/>
            <w:shd w:val="clear" w:color="auto" w:fill="auto"/>
            <w:vAlign w:val="center"/>
          </w:tcPr>
          <w:p>
            <w:pPr>
              <w:pStyle w:val="179"/>
            </w:pPr>
          </w:p>
        </w:tc>
        <w:tc>
          <w:tcPr>
            <w:tcW w:w="4961" w:type="dxa"/>
            <w:shd w:val="clear" w:color="auto" w:fill="auto"/>
            <w:vAlign w:val="center"/>
          </w:tcPr>
          <w:p>
            <w:pPr>
              <w:pStyle w:val="179"/>
            </w:pPr>
            <w:r>
              <w:rPr>
                <w:rFonts w:hint="eastAsia"/>
              </w:rPr>
              <w:t>普椅车：≤2500 mm×1200 mm×1400 mm(长×宽×高)</w:t>
            </w:r>
          </w:p>
        </w:tc>
        <w:tc>
          <w:tcPr>
            <w:tcW w:w="2276" w:type="dxa"/>
            <w:vMerge w:val="continue"/>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3" w:hRule="atLeast"/>
          <w:jc w:val="center"/>
        </w:trPr>
        <w:tc>
          <w:tcPr>
            <w:tcW w:w="577" w:type="dxa"/>
            <w:vMerge w:val="restart"/>
            <w:shd w:val="clear" w:color="auto" w:fill="auto"/>
            <w:vAlign w:val="center"/>
          </w:tcPr>
          <w:p>
            <w:pPr>
              <w:pStyle w:val="179"/>
            </w:pPr>
            <w:r>
              <w:rPr>
                <w:rFonts w:hint="eastAsia"/>
              </w:rPr>
              <w:t>5</w:t>
            </w:r>
          </w:p>
        </w:tc>
        <w:tc>
          <w:tcPr>
            <w:tcW w:w="1560" w:type="dxa"/>
            <w:vMerge w:val="restart"/>
            <w:shd w:val="clear" w:color="auto" w:fill="auto"/>
            <w:vAlign w:val="center"/>
          </w:tcPr>
          <w:p>
            <w:pPr>
              <w:pStyle w:val="179"/>
            </w:pPr>
            <w:r>
              <w:rPr>
                <w:rFonts w:hint="eastAsia"/>
              </w:rPr>
              <w:t>结构</w:t>
            </w:r>
          </w:p>
        </w:tc>
        <w:tc>
          <w:tcPr>
            <w:tcW w:w="4961" w:type="dxa"/>
            <w:shd w:val="clear" w:color="auto" w:fill="auto"/>
            <w:vAlign w:val="center"/>
          </w:tcPr>
          <w:p>
            <w:pPr>
              <w:pStyle w:val="179"/>
            </w:pPr>
            <w:r>
              <w:rPr>
                <w:rFonts w:hint="eastAsia"/>
              </w:rPr>
              <w:t>正三轮</w:t>
            </w:r>
          </w:p>
        </w:tc>
        <w:tc>
          <w:tcPr>
            <w:tcW w:w="2276" w:type="dxa"/>
            <w:vMerge w:val="restart"/>
            <w:shd w:val="clear" w:color="auto" w:fill="auto"/>
            <w:vAlign w:val="center"/>
          </w:tcPr>
          <w:p>
            <w:pPr>
              <w:pStyle w:val="179"/>
            </w:pPr>
            <w:r>
              <w:rPr>
                <w:rFonts w:hint="eastAsia"/>
              </w:rPr>
              <w:t>检视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3" w:hRule="atLeast"/>
          <w:jc w:val="center"/>
        </w:trPr>
        <w:tc>
          <w:tcPr>
            <w:tcW w:w="577" w:type="dxa"/>
            <w:vMerge w:val="continue"/>
            <w:shd w:val="clear" w:color="auto" w:fill="auto"/>
            <w:vAlign w:val="center"/>
          </w:tcPr>
          <w:p>
            <w:pPr>
              <w:pStyle w:val="179"/>
            </w:pPr>
          </w:p>
        </w:tc>
        <w:tc>
          <w:tcPr>
            <w:tcW w:w="1560" w:type="dxa"/>
            <w:vMerge w:val="continue"/>
            <w:shd w:val="clear" w:color="auto" w:fill="auto"/>
            <w:vAlign w:val="center"/>
          </w:tcPr>
          <w:p>
            <w:pPr>
              <w:pStyle w:val="179"/>
            </w:pPr>
          </w:p>
        </w:tc>
        <w:tc>
          <w:tcPr>
            <w:tcW w:w="4961" w:type="dxa"/>
            <w:shd w:val="clear" w:color="auto" w:fill="auto"/>
            <w:vAlign w:val="center"/>
          </w:tcPr>
          <w:p>
            <w:pPr>
              <w:pStyle w:val="179"/>
            </w:pPr>
            <w:r>
              <w:t>控制装置</w:t>
            </w:r>
            <w:r>
              <w:rPr>
                <w:rFonts w:hint="eastAsia"/>
              </w:rPr>
              <w:t>全部由残障者上肢操纵</w:t>
            </w:r>
          </w:p>
        </w:tc>
        <w:tc>
          <w:tcPr>
            <w:tcW w:w="2276" w:type="dxa"/>
            <w:vMerge w:val="continue"/>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3" w:hRule="atLeast"/>
          <w:jc w:val="center"/>
        </w:trPr>
        <w:tc>
          <w:tcPr>
            <w:tcW w:w="577" w:type="dxa"/>
            <w:vMerge w:val="continue"/>
            <w:shd w:val="clear" w:color="auto" w:fill="auto"/>
            <w:vAlign w:val="center"/>
          </w:tcPr>
          <w:p>
            <w:pPr>
              <w:pStyle w:val="179"/>
            </w:pPr>
          </w:p>
        </w:tc>
        <w:tc>
          <w:tcPr>
            <w:tcW w:w="1560" w:type="dxa"/>
            <w:vMerge w:val="continue"/>
            <w:shd w:val="clear" w:color="auto" w:fill="auto"/>
            <w:vAlign w:val="center"/>
          </w:tcPr>
          <w:p>
            <w:pPr>
              <w:pStyle w:val="179"/>
            </w:pPr>
          </w:p>
        </w:tc>
        <w:tc>
          <w:tcPr>
            <w:tcW w:w="4961" w:type="dxa"/>
            <w:shd w:val="clear" w:color="auto" w:fill="auto"/>
            <w:vAlign w:val="center"/>
          </w:tcPr>
          <w:p>
            <w:pPr>
              <w:pStyle w:val="179"/>
            </w:pPr>
            <w:r>
              <w:rPr>
                <w:rFonts w:hint="eastAsia"/>
              </w:rPr>
              <w:t>有放置拐杖的位置，并能固定</w:t>
            </w:r>
          </w:p>
        </w:tc>
        <w:tc>
          <w:tcPr>
            <w:tcW w:w="2276" w:type="dxa"/>
            <w:vMerge w:val="continue"/>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77" w:type="dxa"/>
            <w:shd w:val="clear" w:color="auto" w:fill="auto"/>
            <w:vAlign w:val="center"/>
          </w:tcPr>
          <w:p>
            <w:pPr>
              <w:pStyle w:val="179"/>
            </w:pPr>
            <w:r>
              <w:rPr>
                <w:rFonts w:hint="eastAsia"/>
              </w:rPr>
              <w:t>6</w:t>
            </w:r>
          </w:p>
        </w:tc>
        <w:tc>
          <w:tcPr>
            <w:tcW w:w="1560" w:type="dxa"/>
            <w:shd w:val="clear" w:color="auto" w:fill="auto"/>
            <w:vAlign w:val="center"/>
          </w:tcPr>
          <w:p>
            <w:pPr>
              <w:pStyle w:val="179"/>
            </w:pPr>
            <w:r>
              <w:rPr>
                <w:rFonts w:hint="eastAsia"/>
              </w:rPr>
              <w:t>标志</w:t>
            </w:r>
          </w:p>
        </w:tc>
        <w:tc>
          <w:tcPr>
            <w:tcW w:w="4961" w:type="dxa"/>
            <w:shd w:val="clear" w:color="auto" w:fill="auto"/>
            <w:vAlign w:val="center"/>
          </w:tcPr>
          <w:p>
            <w:pPr>
              <w:pStyle w:val="179"/>
            </w:pPr>
            <w:r>
              <w:rPr>
                <w:rFonts w:hint="eastAsia"/>
              </w:rPr>
              <w:t>贴有残疾人专用车标志</w:t>
            </w:r>
          </w:p>
        </w:tc>
        <w:tc>
          <w:tcPr>
            <w:tcW w:w="2276" w:type="dxa"/>
            <w:shd w:val="clear" w:color="auto" w:fill="auto"/>
            <w:vAlign w:val="center"/>
          </w:tcPr>
          <w:p>
            <w:pPr>
              <w:pStyle w:val="179"/>
            </w:pPr>
            <w:r>
              <w:rPr>
                <w:rFonts w:hint="eastAsia"/>
              </w:rPr>
              <w:t>检视</w:t>
            </w:r>
          </w:p>
        </w:tc>
      </w:tr>
    </w:tbl>
    <w:p>
      <w:pPr>
        <w:pStyle w:val="225"/>
        <w:rPr>
          <w:rFonts w:ascii="黑体" w:hAnsi="黑体" w:eastAsia="黑体"/>
        </w:rPr>
      </w:pPr>
      <w:r>
        <w:rPr>
          <w:rFonts w:hint="eastAsia" w:ascii="黑体" w:hAnsi="黑体" w:eastAsia="黑体"/>
        </w:rPr>
        <w:t>电动轮椅车鉴定</w:t>
      </w:r>
    </w:p>
    <w:p>
      <w:pPr>
        <w:pStyle w:val="57"/>
        <w:ind w:firstLine="420"/>
      </w:pPr>
      <w:r>
        <w:rPr>
          <w:rFonts w:hint="eastAsia"/>
        </w:rPr>
        <w:t>电动轮椅车安全技术检验鉴定应符合GB</w:t>
      </w:r>
      <w:r>
        <w:t xml:space="preserve"> 1299</w:t>
      </w:r>
      <w:r>
        <w:rPr>
          <w:rFonts w:hint="eastAsia"/>
        </w:rPr>
        <w:t>6的规定，以检视和查阅材料为主，鉴定项目、技术要求、方法应符合表3</w:t>
      </w:r>
      <w:r>
        <w:t xml:space="preserve"> </w:t>
      </w:r>
      <w:r>
        <w:rPr>
          <w:rFonts w:hint="eastAsia"/>
        </w:rPr>
        <w:t>的规定。如无法通过检视和查阅材料确定，应辅以检测方法。</w:t>
      </w:r>
    </w:p>
    <w:p>
      <w:pPr>
        <w:pStyle w:val="113"/>
        <w:spacing w:before="156" w:after="156"/>
      </w:pPr>
      <w:r>
        <w:rPr>
          <w:rFonts w:hint="eastAsia"/>
        </w:rPr>
        <w:t>电动轮椅车鉴定项目、技术要求、方法</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577"/>
        <w:gridCol w:w="1560"/>
        <w:gridCol w:w="1653"/>
        <w:gridCol w:w="898"/>
        <w:gridCol w:w="756"/>
        <w:gridCol w:w="1654"/>
        <w:gridCol w:w="227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577" w:type="dxa"/>
            <w:tcBorders>
              <w:top w:val="single" w:color="auto" w:sz="8" w:space="0"/>
              <w:bottom w:val="single" w:color="auto" w:sz="8" w:space="0"/>
            </w:tcBorders>
            <w:shd w:val="clear" w:color="auto" w:fill="auto"/>
            <w:vAlign w:val="center"/>
          </w:tcPr>
          <w:p>
            <w:pPr>
              <w:pStyle w:val="179"/>
            </w:pPr>
            <w:r>
              <w:rPr>
                <w:rFonts w:hint="eastAsia"/>
              </w:rPr>
              <w:t>序号</w:t>
            </w:r>
          </w:p>
        </w:tc>
        <w:tc>
          <w:tcPr>
            <w:tcW w:w="1560" w:type="dxa"/>
            <w:tcBorders>
              <w:top w:val="single" w:color="auto" w:sz="8" w:space="0"/>
              <w:bottom w:val="single" w:color="auto" w:sz="8" w:space="0"/>
            </w:tcBorders>
            <w:shd w:val="clear" w:color="auto" w:fill="auto"/>
            <w:vAlign w:val="center"/>
          </w:tcPr>
          <w:p>
            <w:pPr>
              <w:pStyle w:val="179"/>
            </w:pPr>
            <w:r>
              <w:rPr>
                <w:rFonts w:hint="eastAsia"/>
              </w:rPr>
              <w:t>鉴定项目</w:t>
            </w:r>
          </w:p>
        </w:tc>
        <w:tc>
          <w:tcPr>
            <w:tcW w:w="4961" w:type="dxa"/>
            <w:gridSpan w:val="4"/>
            <w:tcBorders>
              <w:top w:val="single" w:color="auto" w:sz="8" w:space="0"/>
              <w:bottom w:val="single" w:color="auto" w:sz="8" w:space="0"/>
            </w:tcBorders>
            <w:shd w:val="clear" w:color="auto" w:fill="auto"/>
            <w:vAlign w:val="center"/>
          </w:tcPr>
          <w:p>
            <w:pPr>
              <w:pStyle w:val="179"/>
            </w:pPr>
            <w:r>
              <w:rPr>
                <w:rFonts w:hint="eastAsia"/>
              </w:rPr>
              <w:t>技术要求</w:t>
            </w:r>
          </w:p>
        </w:tc>
        <w:tc>
          <w:tcPr>
            <w:tcW w:w="2276" w:type="dxa"/>
            <w:tcBorders>
              <w:top w:val="single" w:color="auto" w:sz="8" w:space="0"/>
              <w:bottom w:val="single" w:color="auto" w:sz="8" w:space="0"/>
            </w:tcBorders>
            <w:shd w:val="clear" w:color="auto" w:fill="auto"/>
            <w:vAlign w:val="center"/>
          </w:tcPr>
          <w:p>
            <w:pPr>
              <w:pStyle w:val="179"/>
            </w:pPr>
            <w:r>
              <w:rPr>
                <w:rFonts w:hint="eastAsia"/>
              </w:rPr>
              <w:t>检查方法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05" w:hRule="atLeast"/>
          <w:jc w:val="center"/>
        </w:trPr>
        <w:tc>
          <w:tcPr>
            <w:tcW w:w="577" w:type="dxa"/>
            <w:vMerge w:val="restart"/>
            <w:shd w:val="clear" w:color="auto" w:fill="auto"/>
            <w:vAlign w:val="center"/>
          </w:tcPr>
          <w:p>
            <w:pPr>
              <w:pStyle w:val="179"/>
            </w:pPr>
            <w:r>
              <w:rPr>
                <w:rFonts w:hint="eastAsia"/>
              </w:rPr>
              <w:t>1</w:t>
            </w:r>
          </w:p>
        </w:tc>
        <w:tc>
          <w:tcPr>
            <w:tcW w:w="1560" w:type="dxa"/>
            <w:vMerge w:val="restart"/>
            <w:shd w:val="clear" w:color="auto" w:fill="auto"/>
            <w:vAlign w:val="center"/>
          </w:tcPr>
          <w:p>
            <w:pPr>
              <w:pStyle w:val="179"/>
            </w:pPr>
            <w:r>
              <w:t>结构</w:t>
            </w:r>
          </w:p>
        </w:tc>
        <w:tc>
          <w:tcPr>
            <w:tcW w:w="4961" w:type="dxa"/>
            <w:gridSpan w:val="4"/>
            <w:shd w:val="clear" w:color="auto" w:fill="auto"/>
            <w:vAlign w:val="center"/>
          </w:tcPr>
          <w:p>
            <w:pPr>
              <w:pStyle w:val="179"/>
            </w:pPr>
            <w:r>
              <w:t>供残障者使用具有座椅支撑的轮式个人移动装置</w:t>
            </w:r>
          </w:p>
        </w:tc>
        <w:tc>
          <w:tcPr>
            <w:tcW w:w="2276" w:type="dxa"/>
            <w:vMerge w:val="restart"/>
            <w:shd w:val="clear" w:color="auto" w:fill="auto"/>
            <w:vAlign w:val="center"/>
          </w:tcPr>
          <w:p>
            <w:pPr>
              <w:pStyle w:val="179"/>
            </w:pPr>
            <w:r>
              <w:t>检视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05" w:hRule="atLeast"/>
          <w:jc w:val="center"/>
        </w:trPr>
        <w:tc>
          <w:tcPr>
            <w:tcW w:w="577" w:type="dxa"/>
            <w:vMerge w:val="continue"/>
            <w:shd w:val="clear" w:color="auto" w:fill="auto"/>
            <w:vAlign w:val="center"/>
          </w:tcPr>
          <w:p>
            <w:pPr>
              <w:pStyle w:val="179"/>
            </w:pPr>
          </w:p>
        </w:tc>
        <w:tc>
          <w:tcPr>
            <w:tcW w:w="1560" w:type="dxa"/>
            <w:vMerge w:val="continue"/>
            <w:shd w:val="clear" w:color="auto" w:fill="auto"/>
            <w:vAlign w:val="center"/>
          </w:tcPr>
          <w:p>
            <w:pPr>
              <w:pStyle w:val="179"/>
            </w:pPr>
          </w:p>
        </w:tc>
        <w:tc>
          <w:tcPr>
            <w:tcW w:w="4961" w:type="dxa"/>
            <w:gridSpan w:val="4"/>
            <w:shd w:val="clear" w:color="auto" w:fill="auto"/>
            <w:vAlign w:val="center"/>
          </w:tcPr>
          <w:p>
            <w:pPr>
              <w:pStyle w:val="179"/>
            </w:pPr>
            <w:r>
              <w:rPr>
                <w:rFonts w:hint="eastAsia"/>
              </w:rPr>
              <w:t>全部由残障者上肢操纵</w:t>
            </w:r>
          </w:p>
        </w:tc>
        <w:tc>
          <w:tcPr>
            <w:tcW w:w="2276" w:type="dxa"/>
            <w:vMerge w:val="continue"/>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15" w:hRule="atLeast"/>
          <w:jc w:val="center"/>
        </w:trPr>
        <w:tc>
          <w:tcPr>
            <w:tcW w:w="577" w:type="dxa"/>
            <w:vMerge w:val="restart"/>
            <w:shd w:val="clear" w:color="auto" w:fill="auto"/>
            <w:vAlign w:val="center"/>
          </w:tcPr>
          <w:p>
            <w:pPr>
              <w:pStyle w:val="179"/>
            </w:pPr>
            <w:r>
              <w:rPr>
                <w:rFonts w:hint="eastAsia"/>
              </w:rPr>
              <w:t>2</w:t>
            </w:r>
          </w:p>
        </w:tc>
        <w:tc>
          <w:tcPr>
            <w:tcW w:w="1560" w:type="dxa"/>
            <w:vMerge w:val="restart"/>
            <w:shd w:val="clear" w:color="auto" w:fill="auto"/>
            <w:vAlign w:val="center"/>
          </w:tcPr>
          <w:p>
            <w:pPr>
              <w:pStyle w:val="179"/>
            </w:pPr>
            <w:r>
              <w:t>外形尺寸</w:t>
            </w:r>
          </w:p>
          <w:p>
            <w:pPr>
              <w:pStyle w:val="179"/>
            </w:pPr>
            <w:r>
              <w:rPr>
                <w:rFonts w:hint="eastAsia"/>
              </w:rPr>
              <w:t>（mm）</w:t>
            </w:r>
          </w:p>
        </w:tc>
        <w:tc>
          <w:tcPr>
            <w:tcW w:w="2551" w:type="dxa"/>
            <w:gridSpan w:val="2"/>
            <w:shd w:val="clear" w:color="auto" w:fill="auto"/>
            <w:vAlign w:val="center"/>
          </w:tcPr>
          <w:p>
            <w:pPr>
              <w:pStyle w:val="179"/>
            </w:pPr>
            <w:r>
              <w:t>室内型、室外型</w:t>
            </w:r>
          </w:p>
        </w:tc>
        <w:tc>
          <w:tcPr>
            <w:tcW w:w="2410" w:type="dxa"/>
            <w:gridSpan w:val="2"/>
            <w:shd w:val="clear" w:color="auto" w:fill="auto"/>
            <w:vAlign w:val="center"/>
          </w:tcPr>
          <w:p>
            <w:pPr>
              <w:pStyle w:val="179"/>
            </w:pPr>
            <w:r>
              <w:t>道路型</w:t>
            </w:r>
          </w:p>
        </w:tc>
        <w:tc>
          <w:tcPr>
            <w:tcW w:w="2276" w:type="dxa"/>
            <w:vMerge w:val="restart"/>
            <w:shd w:val="clear" w:color="auto" w:fill="auto"/>
            <w:vAlign w:val="center"/>
          </w:tcPr>
          <w:p>
            <w:pPr>
              <w:pStyle w:val="179"/>
            </w:pPr>
            <w:r>
              <w:t>检测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15" w:hRule="atLeast"/>
          <w:jc w:val="center"/>
        </w:trPr>
        <w:tc>
          <w:tcPr>
            <w:tcW w:w="577" w:type="dxa"/>
            <w:vMerge w:val="continue"/>
            <w:shd w:val="clear" w:color="auto" w:fill="auto"/>
            <w:vAlign w:val="center"/>
          </w:tcPr>
          <w:p>
            <w:pPr>
              <w:pStyle w:val="179"/>
            </w:pPr>
          </w:p>
        </w:tc>
        <w:tc>
          <w:tcPr>
            <w:tcW w:w="1560" w:type="dxa"/>
            <w:vMerge w:val="continue"/>
            <w:shd w:val="clear" w:color="auto" w:fill="auto"/>
            <w:vAlign w:val="center"/>
          </w:tcPr>
          <w:p>
            <w:pPr>
              <w:pStyle w:val="179"/>
            </w:pPr>
          </w:p>
        </w:tc>
        <w:tc>
          <w:tcPr>
            <w:tcW w:w="2551" w:type="dxa"/>
            <w:gridSpan w:val="2"/>
            <w:shd w:val="clear" w:color="auto" w:fill="auto"/>
            <w:vAlign w:val="center"/>
          </w:tcPr>
          <w:p>
            <w:pPr>
              <w:pStyle w:val="179"/>
            </w:pPr>
            <w:r>
              <w:t>总长</w:t>
            </w:r>
            <w:r>
              <w:rPr>
                <w:rFonts w:hint="eastAsia"/>
              </w:rPr>
              <w:t xml:space="preserve"> </w:t>
            </w:r>
            <w:r>
              <w:rPr>
                <w:rFonts w:hint="eastAsia"/>
                <w:i/>
              </w:rPr>
              <w:t>L</w:t>
            </w:r>
            <w:r>
              <w:rPr>
                <w:rFonts w:hint="eastAsia"/>
              </w:rPr>
              <w:t xml:space="preserve"> ≤ 1200</w:t>
            </w:r>
          </w:p>
        </w:tc>
        <w:tc>
          <w:tcPr>
            <w:tcW w:w="2410" w:type="dxa"/>
            <w:gridSpan w:val="2"/>
            <w:shd w:val="clear" w:color="auto" w:fill="auto"/>
            <w:vAlign w:val="center"/>
          </w:tcPr>
          <w:p>
            <w:pPr>
              <w:pStyle w:val="179"/>
            </w:pPr>
            <w:r>
              <w:t>总长</w:t>
            </w:r>
            <w:r>
              <w:rPr>
                <w:rFonts w:hint="eastAsia"/>
              </w:rPr>
              <w:t xml:space="preserve"> </w:t>
            </w:r>
            <w:r>
              <w:rPr>
                <w:rFonts w:hint="eastAsia"/>
                <w:i/>
              </w:rPr>
              <w:t>L</w:t>
            </w:r>
            <w:r>
              <w:rPr>
                <w:rFonts w:hint="eastAsia"/>
              </w:rPr>
              <w:t xml:space="preserve"> ≤ 1600</w:t>
            </w:r>
          </w:p>
        </w:tc>
        <w:tc>
          <w:tcPr>
            <w:tcW w:w="2276" w:type="dxa"/>
            <w:vMerge w:val="continue"/>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15" w:hRule="atLeast"/>
          <w:jc w:val="center"/>
        </w:trPr>
        <w:tc>
          <w:tcPr>
            <w:tcW w:w="577" w:type="dxa"/>
            <w:vMerge w:val="continue"/>
            <w:shd w:val="clear" w:color="auto" w:fill="auto"/>
            <w:vAlign w:val="center"/>
          </w:tcPr>
          <w:p>
            <w:pPr>
              <w:pStyle w:val="179"/>
            </w:pPr>
          </w:p>
        </w:tc>
        <w:tc>
          <w:tcPr>
            <w:tcW w:w="1560" w:type="dxa"/>
            <w:vMerge w:val="continue"/>
            <w:shd w:val="clear" w:color="auto" w:fill="auto"/>
            <w:vAlign w:val="center"/>
          </w:tcPr>
          <w:p>
            <w:pPr>
              <w:pStyle w:val="179"/>
            </w:pPr>
          </w:p>
        </w:tc>
        <w:tc>
          <w:tcPr>
            <w:tcW w:w="2551" w:type="dxa"/>
            <w:gridSpan w:val="2"/>
            <w:shd w:val="clear" w:color="auto" w:fill="auto"/>
            <w:vAlign w:val="center"/>
          </w:tcPr>
          <w:p>
            <w:pPr>
              <w:pStyle w:val="179"/>
            </w:pPr>
            <w:r>
              <w:t>总宽</w:t>
            </w:r>
            <w:r>
              <w:rPr>
                <w:rFonts w:hint="eastAsia"/>
              </w:rPr>
              <w:t xml:space="preserve"> </w:t>
            </w:r>
            <w:r>
              <w:rPr>
                <w:i/>
              </w:rPr>
              <w:t>B</w:t>
            </w:r>
            <w:r>
              <w:rPr>
                <w:rFonts w:hint="eastAsia"/>
              </w:rPr>
              <w:t xml:space="preserve"> ≤ 700</w:t>
            </w:r>
          </w:p>
        </w:tc>
        <w:tc>
          <w:tcPr>
            <w:tcW w:w="2410" w:type="dxa"/>
            <w:gridSpan w:val="2"/>
            <w:shd w:val="clear" w:color="auto" w:fill="auto"/>
            <w:vAlign w:val="center"/>
          </w:tcPr>
          <w:p>
            <w:pPr>
              <w:pStyle w:val="179"/>
            </w:pPr>
            <w:r>
              <w:t>总宽</w:t>
            </w:r>
            <w:r>
              <w:rPr>
                <w:rFonts w:hint="eastAsia"/>
              </w:rPr>
              <w:t xml:space="preserve"> </w:t>
            </w:r>
            <w:r>
              <w:rPr>
                <w:i/>
              </w:rPr>
              <w:t>B</w:t>
            </w:r>
            <w:r>
              <w:rPr>
                <w:rFonts w:hint="eastAsia"/>
              </w:rPr>
              <w:t xml:space="preserve"> ≤ 750</w:t>
            </w:r>
          </w:p>
        </w:tc>
        <w:tc>
          <w:tcPr>
            <w:tcW w:w="2276" w:type="dxa"/>
            <w:vMerge w:val="continue"/>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15" w:hRule="atLeast"/>
          <w:jc w:val="center"/>
        </w:trPr>
        <w:tc>
          <w:tcPr>
            <w:tcW w:w="577" w:type="dxa"/>
            <w:vMerge w:val="continue"/>
            <w:shd w:val="clear" w:color="auto" w:fill="auto"/>
            <w:vAlign w:val="center"/>
          </w:tcPr>
          <w:p>
            <w:pPr>
              <w:pStyle w:val="179"/>
            </w:pPr>
          </w:p>
        </w:tc>
        <w:tc>
          <w:tcPr>
            <w:tcW w:w="1560" w:type="dxa"/>
            <w:vMerge w:val="continue"/>
            <w:shd w:val="clear" w:color="auto" w:fill="auto"/>
            <w:vAlign w:val="center"/>
          </w:tcPr>
          <w:p>
            <w:pPr>
              <w:pStyle w:val="179"/>
            </w:pPr>
          </w:p>
        </w:tc>
        <w:tc>
          <w:tcPr>
            <w:tcW w:w="2551" w:type="dxa"/>
            <w:gridSpan w:val="2"/>
            <w:shd w:val="clear" w:color="auto" w:fill="auto"/>
            <w:vAlign w:val="center"/>
          </w:tcPr>
          <w:p>
            <w:pPr>
              <w:pStyle w:val="179"/>
            </w:pPr>
            <w:r>
              <w:t>总高</w:t>
            </w:r>
            <w:r>
              <w:rPr>
                <w:rFonts w:hint="eastAsia"/>
              </w:rPr>
              <w:t xml:space="preserve"> </w:t>
            </w:r>
            <w:r>
              <w:rPr>
                <w:rFonts w:hint="eastAsia"/>
                <w:i/>
              </w:rPr>
              <w:t>H</w:t>
            </w:r>
            <w:r>
              <w:rPr>
                <w:rFonts w:hint="eastAsia"/>
              </w:rPr>
              <w:t xml:space="preserve"> ≤ 1090</w:t>
            </w:r>
          </w:p>
        </w:tc>
        <w:tc>
          <w:tcPr>
            <w:tcW w:w="2410" w:type="dxa"/>
            <w:gridSpan w:val="2"/>
            <w:shd w:val="clear" w:color="auto" w:fill="auto"/>
            <w:vAlign w:val="center"/>
          </w:tcPr>
          <w:p>
            <w:pPr>
              <w:pStyle w:val="179"/>
            </w:pPr>
            <w:r>
              <w:rPr>
                <w:rFonts w:hint="eastAsia"/>
              </w:rPr>
              <w:t>-</w:t>
            </w:r>
          </w:p>
        </w:tc>
        <w:tc>
          <w:tcPr>
            <w:tcW w:w="2276" w:type="dxa"/>
            <w:vMerge w:val="continue"/>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77" w:type="dxa"/>
            <w:shd w:val="clear" w:color="auto" w:fill="auto"/>
            <w:vAlign w:val="center"/>
          </w:tcPr>
          <w:p>
            <w:pPr>
              <w:pStyle w:val="179"/>
            </w:pPr>
            <w:r>
              <w:rPr>
                <w:rFonts w:hint="eastAsia"/>
              </w:rPr>
              <w:t>3</w:t>
            </w:r>
          </w:p>
        </w:tc>
        <w:tc>
          <w:tcPr>
            <w:tcW w:w="1560" w:type="dxa"/>
            <w:shd w:val="clear" w:color="auto" w:fill="auto"/>
            <w:vAlign w:val="center"/>
          </w:tcPr>
          <w:p>
            <w:pPr>
              <w:pStyle w:val="179"/>
            </w:pPr>
            <w:r>
              <w:t>驱动方式</w:t>
            </w:r>
          </w:p>
        </w:tc>
        <w:tc>
          <w:tcPr>
            <w:tcW w:w="4961" w:type="dxa"/>
            <w:gridSpan w:val="4"/>
            <w:shd w:val="clear" w:color="auto" w:fill="auto"/>
            <w:vAlign w:val="center"/>
          </w:tcPr>
          <w:p>
            <w:pPr>
              <w:pStyle w:val="179"/>
            </w:pPr>
            <w:r>
              <w:t>电动机</w:t>
            </w:r>
          </w:p>
        </w:tc>
        <w:tc>
          <w:tcPr>
            <w:tcW w:w="2276" w:type="dxa"/>
            <w:shd w:val="clear" w:color="auto" w:fill="auto"/>
            <w:vAlign w:val="center"/>
          </w:tcPr>
          <w:p>
            <w:pPr>
              <w:pStyle w:val="179"/>
            </w:pPr>
            <w:r>
              <w:t>检视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05" w:hRule="atLeast"/>
          <w:jc w:val="center"/>
        </w:trPr>
        <w:tc>
          <w:tcPr>
            <w:tcW w:w="577" w:type="dxa"/>
            <w:vMerge w:val="restart"/>
            <w:shd w:val="clear" w:color="auto" w:fill="auto"/>
            <w:vAlign w:val="center"/>
          </w:tcPr>
          <w:p>
            <w:pPr>
              <w:pStyle w:val="179"/>
            </w:pPr>
            <w:r>
              <w:rPr>
                <w:rFonts w:hint="eastAsia"/>
              </w:rPr>
              <w:t>4</w:t>
            </w:r>
          </w:p>
        </w:tc>
        <w:tc>
          <w:tcPr>
            <w:tcW w:w="1560" w:type="dxa"/>
            <w:vMerge w:val="restart"/>
            <w:shd w:val="clear" w:color="auto" w:fill="auto"/>
            <w:vAlign w:val="center"/>
          </w:tcPr>
          <w:p>
            <w:pPr>
              <w:pStyle w:val="179"/>
            </w:pPr>
            <w:r>
              <w:t>最大速度</w:t>
            </w:r>
          </w:p>
          <w:p>
            <w:pPr>
              <w:pStyle w:val="179"/>
            </w:pPr>
            <w:r>
              <w:rPr>
                <w:rFonts w:hint="eastAsia"/>
              </w:rPr>
              <w:t>（km/h）</w:t>
            </w:r>
          </w:p>
        </w:tc>
        <w:tc>
          <w:tcPr>
            <w:tcW w:w="1653" w:type="dxa"/>
            <w:shd w:val="clear" w:color="auto" w:fill="auto"/>
            <w:vAlign w:val="center"/>
          </w:tcPr>
          <w:p>
            <w:pPr>
              <w:pStyle w:val="179"/>
            </w:pPr>
            <w:r>
              <w:t>室内型</w:t>
            </w:r>
          </w:p>
        </w:tc>
        <w:tc>
          <w:tcPr>
            <w:tcW w:w="1654" w:type="dxa"/>
            <w:gridSpan w:val="2"/>
            <w:shd w:val="clear" w:color="auto" w:fill="auto"/>
            <w:vAlign w:val="center"/>
          </w:tcPr>
          <w:p>
            <w:pPr>
              <w:pStyle w:val="179"/>
            </w:pPr>
            <w:r>
              <w:t>室外型</w:t>
            </w:r>
          </w:p>
        </w:tc>
        <w:tc>
          <w:tcPr>
            <w:tcW w:w="1654" w:type="dxa"/>
            <w:shd w:val="clear" w:color="auto" w:fill="auto"/>
            <w:vAlign w:val="center"/>
          </w:tcPr>
          <w:p>
            <w:pPr>
              <w:pStyle w:val="179"/>
            </w:pPr>
            <w:r>
              <w:t>道路型</w:t>
            </w:r>
          </w:p>
        </w:tc>
        <w:tc>
          <w:tcPr>
            <w:tcW w:w="2276" w:type="dxa"/>
            <w:vMerge w:val="restart"/>
            <w:shd w:val="clear" w:color="auto" w:fill="auto"/>
            <w:vAlign w:val="center"/>
          </w:tcPr>
          <w:p>
            <w:pPr>
              <w:pStyle w:val="179"/>
            </w:pPr>
            <w:r>
              <w:t>按GB</w:t>
            </w:r>
            <w:r>
              <w:rPr>
                <w:rFonts w:hint="eastAsia"/>
              </w:rPr>
              <w:t>/T 12996-2012中第7.4.1检测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05" w:hRule="atLeast"/>
          <w:jc w:val="center"/>
        </w:trPr>
        <w:tc>
          <w:tcPr>
            <w:tcW w:w="577" w:type="dxa"/>
            <w:vMerge w:val="continue"/>
            <w:shd w:val="clear" w:color="auto" w:fill="auto"/>
            <w:vAlign w:val="center"/>
          </w:tcPr>
          <w:p>
            <w:pPr>
              <w:pStyle w:val="179"/>
            </w:pPr>
          </w:p>
        </w:tc>
        <w:tc>
          <w:tcPr>
            <w:tcW w:w="1560" w:type="dxa"/>
            <w:vMerge w:val="continue"/>
            <w:shd w:val="clear" w:color="auto" w:fill="auto"/>
            <w:vAlign w:val="center"/>
          </w:tcPr>
          <w:p>
            <w:pPr>
              <w:pStyle w:val="179"/>
            </w:pPr>
          </w:p>
        </w:tc>
        <w:tc>
          <w:tcPr>
            <w:tcW w:w="1653" w:type="dxa"/>
            <w:shd w:val="clear" w:color="auto" w:fill="auto"/>
            <w:vAlign w:val="center"/>
          </w:tcPr>
          <w:p>
            <w:pPr>
              <w:pStyle w:val="179"/>
            </w:pPr>
            <w:r>
              <w:rPr>
                <w:rFonts w:hint="eastAsia"/>
              </w:rPr>
              <w:t>≤ 4.5</w:t>
            </w:r>
          </w:p>
        </w:tc>
        <w:tc>
          <w:tcPr>
            <w:tcW w:w="1654" w:type="dxa"/>
            <w:gridSpan w:val="2"/>
            <w:shd w:val="clear" w:color="auto" w:fill="auto"/>
            <w:vAlign w:val="center"/>
          </w:tcPr>
          <w:p>
            <w:pPr>
              <w:pStyle w:val="179"/>
            </w:pPr>
            <w:r>
              <w:rPr>
                <w:rFonts w:hint="eastAsia"/>
              </w:rPr>
              <w:t>≤ 6</w:t>
            </w:r>
          </w:p>
        </w:tc>
        <w:tc>
          <w:tcPr>
            <w:tcW w:w="1654" w:type="dxa"/>
            <w:shd w:val="clear" w:color="auto" w:fill="auto"/>
            <w:vAlign w:val="center"/>
          </w:tcPr>
          <w:p>
            <w:pPr>
              <w:pStyle w:val="179"/>
            </w:pPr>
            <w:r>
              <w:rPr>
                <w:rFonts w:hint="eastAsia"/>
              </w:rPr>
              <w:t>≤ 15</w:t>
            </w:r>
          </w:p>
        </w:tc>
        <w:tc>
          <w:tcPr>
            <w:tcW w:w="2276" w:type="dxa"/>
            <w:vMerge w:val="continue"/>
            <w:shd w:val="clear" w:color="auto" w:fill="auto"/>
            <w:vAlign w:val="center"/>
          </w:tcPr>
          <w:p>
            <w:pPr>
              <w:pStyle w:val="179"/>
            </w:pPr>
          </w:p>
        </w:tc>
      </w:tr>
    </w:tbl>
    <w:p>
      <w:pPr>
        <w:pStyle w:val="225"/>
        <w:rPr>
          <w:rFonts w:ascii="黑体" w:hAnsi="黑体" w:eastAsia="黑体"/>
        </w:rPr>
      </w:pPr>
      <w:r>
        <w:rPr>
          <w:rFonts w:ascii="黑体" w:hAnsi="黑体" w:eastAsia="黑体"/>
        </w:rPr>
        <w:t>摩托车</w:t>
      </w:r>
      <w:r>
        <w:rPr>
          <w:rFonts w:hint="eastAsia" w:ascii="黑体" w:hAnsi="黑体" w:eastAsia="黑体"/>
        </w:rPr>
        <w:t>鉴定</w:t>
      </w:r>
    </w:p>
    <w:p>
      <w:pPr>
        <w:pStyle w:val="57"/>
        <w:ind w:firstLine="420"/>
      </w:pPr>
      <w:r>
        <w:rPr>
          <w:rFonts w:hint="eastAsia"/>
        </w:rPr>
        <w:t>摩托车安全技术检验鉴定应符合GB</w:t>
      </w:r>
      <w:r>
        <w:t xml:space="preserve"> </w:t>
      </w:r>
      <w:r>
        <w:rPr>
          <w:rFonts w:hint="eastAsia"/>
        </w:rPr>
        <w:t>7258的规定，以检视和查阅材料为主，鉴定项目、技术要求、方法应符合表4</w:t>
      </w:r>
      <w:r>
        <w:t xml:space="preserve"> </w:t>
      </w:r>
      <w:r>
        <w:rPr>
          <w:rFonts w:hint="eastAsia"/>
        </w:rPr>
        <w:t>的规定。如无法通过检视和查阅材料确定，应辅以检测方法。</w:t>
      </w:r>
    </w:p>
    <w:p>
      <w:pPr>
        <w:pStyle w:val="113"/>
        <w:spacing w:before="156" w:after="156"/>
      </w:pPr>
      <w:r>
        <w:rPr>
          <w:rFonts w:hint="eastAsia"/>
        </w:rPr>
        <w:t>摩托车鉴定项目、技术要求、方法</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577"/>
        <w:gridCol w:w="1560"/>
        <w:gridCol w:w="1275"/>
        <w:gridCol w:w="3686"/>
        <w:gridCol w:w="227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577" w:type="dxa"/>
            <w:tcBorders>
              <w:top w:val="single" w:color="auto" w:sz="8" w:space="0"/>
              <w:bottom w:val="single" w:color="auto" w:sz="8" w:space="0"/>
            </w:tcBorders>
            <w:shd w:val="clear" w:color="auto" w:fill="auto"/>
            <w:vAlign w:val="center"/>
          </w:tcPr>
          <w:p>
            <w:pPr>
              <w:pStyle w:val="179"/>
            </w:pPr>
            <w:r>
              <w:rPr>
                <w:rFonts w:hint="eastAsia"/>
              </w:rPr>
              <w:t>序号</w:t>
            </w:r>
          </w:p>
        </w:tc>
        <w:tc>
          <w:tcPr>
            <w:tcW w:w="1560" w:type="dxa"/>
            <w:tcBorders>
              <w:top w:val="single" w:color="auto" w:sz="8" w:space="0"/>
              <w:bottom w:val="single" w:color="auto" w:sz="8" w:space="0"/>
            </w:tcBorders>
            <w:shd w:val="clear" w:color="auto" w:fill="auto"/>
            <w:vAlign w:val="center"/>
          </w:tcPr>
          <w:p>
            <w:pPr>
              <w:pStyle w:val="179"/>
            </w:pPr>
            <w:r>
              <w:rPr>
                <w:rFonts w:hint="eastAsia"/>
              </w:rPr>
              <w:t>鉴定项目</w:t>
            </w:r>
          </w:p>
        </w:tc>
        <w:tc>
          <w:tcPr>
            <w:tcW w:w="4961" w:type="dxa"/>
            <w:gridSpan w:val="2"/>
            <w:tcBorders>
              <w:top w:val="single" w:color="auto" w:sz="8" w:space="0"/>
              <w:bottom w:val="single" w:color="auto" w:sz="8" w:space="0"/>
            </w:tcBorders>
            <w:shd w:val="clear" w:color="auto" w:fill="auto"/>
            <w:vAlign w:val="center"/>
          </w:tcPr>
          <w:p>
            <w:pPr>
              <w:pStyle w:val="179"/>
            </w:pPr>
            <w:r>
              <w:rPr>
                <w:rFonts w:hint="eastAsia"/>
              </w:rPr>
              <w:t>技术要求</w:t>
            </w:r>
          </w:p>
        </w:tc>
        <w:tc>
          <w:tcPr>
            <w:tcW w:w="2276" w:type="dxa"/>
            <w:tcBorders>
              <w:top w:val="single" w:color="auto" w:sz="8" w:space="0"/>
              <w:bottom w:val="single" w:color="auto" w:sz="8" w:space="0"/>
            </w:tcBorders>
            <w:shd w:val="clear" w:color="auto" w:fill="auto"/>
            <w:vAlign w:val="center"/>
          </w:tcPr>
          <w:p>
            <w:pPr>
              <w:pStyle w:val="179"/>
            </w:pPr>
            <w:r>
              <w:rPr>
                <w:rFonts w:hint="eastAsia"/>
              </w:rPr>
              <w:t>检查方法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77" w:type="dxa"/>
            <w:shd w:val="clear" w:color="auto" w:fill="auto"/>
            <w:vAlign w:val="center"/>
          </w:tcPr>
          <w:p>
            <w:pPr>
              <w:pStyle w:val="179"/>
            </w:pPr>
            <w:r>
              <w:rPr>
                <w:rFonts w:hint="eastAsia"/>
              </w:rPr>
              <w:t>1</w:t>
            </w:r>
          </w:p>
        </w:tc>
        <w:tc>
          <w:tcPr>
            <w:tcW w:w="1560" w:type="dxa"/>
            <w:shd w:val="clear" w:color="auto" w:fill="auto"/>
            <w:vAlign w:val="center"/>
          </w:tcPr>
          <w:p>
            <w:pPr>
              <w:pStyle w:val="179"/>
            </w:pPr>
            <w:r>
              <w:t>结构</w:t>
            </w:r>
          </w:p>
        </w:tc>
        <w:tc>
          <w:tcPr>
            <w:tcW w:w="4961" w:type="dxa"/>
            <w:gridSpan w:val="2"/>
            <w:shd w:val="clear" w:color="auto" w:fill="auto"/>
            <w:vAlign w:val="center"/>
          </w:tcPr>
          <w:p>
            <w:pPr>
              <w:pStyle w:val="179"/>
            </w:pPr>
            <w:r>
              <w:t>具有两个或三个车轮</w:t>
            </w:r>
          </w:p>
        </w:tc>
        <w:tc>
          <w:tcPr>
            <w:tcW w:w="2276" w:type="dxa"/>
            <w:shd w:val="clear" w:color="auto" w:fill="auto"/>
            <w:vAlign w:val="center"/>
          </w:tcPr>
          <w:p>
            <w:pPr>
              <w:pStyle w:val="179"/>
            </w:pPr>
            <w:r>
              <w:t>检视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05" w:hRule="atLeast"/>
          <w:jc w:val="center"/>
        </w:trPr>
        <w:tc>
          <w:tcPr>
            <w:tcW w:w="577" w:type="dxa"/>
            <w:shd w:val="clear" w:color="auto" w:fill="auto"/>
            <w:vAlign w:val="center"/>
          </w:tcPr>
          <w:p>
            <w:pPr>
              <w:pStyle w:val="179"/>
            </w:pPr>
            <w:r>
              <w:rPr>
                <w:rFonts w:hint="eastAsia"/>
              </w:rPr>
              <w:t>2</w:t>
            </w:r>
          </w:p>
        </w:tc>
        <w:tc>
          <w:tcPr>
            <w:tcW w:w="1560" w:type="dxa"/>
            <w:shd w:val="clear" w:color="auto" w:fill="auto"/>
            <w:vAlign w:val="center"/>
          </w:tcPr>
          <w:p>
            <w:pPr>
              <w:pStyle w:val="179"/>
            </w:pPr>
            <w:r>
              <w:t>驱动方式</w:t>
            </w:r>
          </w:p>
        </w:tc>
        <w:tc>
          <w:tcPr>
            <w:tcW w:w="4961" w:type="dxa"/>
            <w:gridSpan w:val="2"/>
            <w:shd w:val="clear" w:color="auto" w:fill="auto"/>
            <w:vAlign w:val="center"/>
          </w:tcPr>
          <w:p>
            <w:pPr>
              <w:pStyle w:val="179"/>
            </w:pPr>
            <w:r>
              <w:t>动力驱动</w:t>
            </w:r>
          </w:p>
        </w:tc>
        <w:tc>
          <w:tcPr>
            <w:tcW w:w="2276" w:type="dxa"/>
            <w:shd w:val="clear" w:color="auto" w:fill="auto"/>
            <w:vAlign w:val="center"/>
          </w:tcPr>
          <w:p>
            <w:pPr>
              <w:pStyle w:val="179"/>
            </w:pPr>
            <w:r>
              <w:t>检视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10" w:hRule="atLeast"/>
          <w:jc w:val="center"/>
        </w:trPr>
        <w:tc>
          <w:tcPr>
            <w:tcW w:w="577" w:type="dxa"/>
            <w:vMerge w:val="restart"/>
            <w:shd w:val="clear" w:color="auto" w:fill="auto"/>
            <w:vAlign w:val="center"/>
          </w:tcPr>
          <w:p>
            <w:pPr>
              <w:pStyle w:val="179"/>
            </w:pPr>
            <w:r>
              <w:rPr>
                <w:rFonts w:hint="eastAsia"/>
              </w:rPr>
              <w:t>3</w:t>
            </w:r>
          </w:p>
        </w:tc>
        <w:tc>
          <w:tcPr>
            <w:tcW w:w="1560" w:type="dxa"/>
            <w:vMerge w:val="restart"/>
            <w:shd w:val="clear" w:color="auto" w:fill="auto"/>
            <w:vAlign w:val="center"/>
          </w:tcPr>
          <w:p>
            <w:pPr>
              <w:pStyle w:val="179"/>
            </w:pPr>
            <w:r>
              <w:t>最高设计车速</w:t>
            </w:r>
          </w:p>
        </w:tc>
        <w:tc>
          <w:tcPr>
            <w:tcW w:w="4961" w:type="dxa"/>
            <w:gridSpan w:val="2"/>
            <w:shd w:val="clear" w:color="auto" w:fill="auto"/>
            <w:vAlign w:val="center"/>
          </w:tcPr>
          <w:p>
            <w:pPr>
              <w:pStyle w:val="179"/>
            </w:pPr>
            <w:r>
              <w:t>普通摩托车：大于</w:t>
            </w:r>
            <w:r>
              <w:rPr>
                <w:rFonts w:hint="eastAsia"/>
              </w:rPr>
              <w:t>50 km/h</w:t>
            </w:r>
          </w:p>
        </w:tc>
        <w:tc>
          <w:tcPr>
            <w:tcW w:w="2276" w:type="dxa"/>
            <w:vMerge w:val="restart"/>
            <w:shd w:val="clear" w:color="auto" w:fill="auto"/>
            <w:vAlign w:val="center"/>
          </w:tcPr>
          <w:p>
            <w:pPr>
              <w:pStyle w:val="179"/>
            </w:pPr>
            <w:r>
              <w:rPr>
                <w:rFonts w:hint="eastAsia"/>
              </w:rPr>
              <w:t>查阅材料，检测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10" w:hRule="atLeast"/>
          <w:jc w:val="center"/>
        </w:trPr>
        <w:tc>
          <w:tcPr>
            <w:tcW w:w="577" w:type="dxa"/>
            <w:vMerge w:val="continue"/>
            <w:shd w:val="clear" w:color="auto" w:fill="auto"/>
            <w:vAlign w:val="center"/>
          </w:tcPr>
          <w:p>
            <w:pPr>
              <w:pStyle w:val="179"/>
            </w:pPr>
          </w:p>
        </w:tc>
        <w:tc>
          <w:tcPr>
            <w:tcW w:w="1560" w:type="dxa"/>
            <w:vMerge w:val="continue"/>
            <w:shd w:val="clear" w:color="auto" w:fill="auto"/>
            <w:vAlign w:val="center"/>
          </w:tcPr>
          <w:p>
            <w:pPr>
              <w:pStyle w:val="179"/>
            </w:pPr>
          </w:p>
        </w:tc>
        <w:tc>
          <w:tcPr>
            <w:tcW w:w="4961" w:type="dxa"/>
            <w:gridSpan w:val="2"/>
            <w:shd w:val="clear" w:color="auto" w:fill="auto"/>
            <w:vAlign w:val="center"/>
          </w:tcPr>
          <w:p>
            <w:pPr>
              <w:pStyle w:val="179"/>
            </w:pPr>
            <w:r>
              <w:t>轻便摩托车：不大于</w:t>
            </w:r>
            <w:r>
              <w:rPr>
                <w:rFonts w:hint="eastAsia"/>
              </w:rPr>
              <w:t>50 km/h</w:t>
            </w:r>
          </w:p>
        </w:tc>
        <w:tc>
          <w:tcPr>
            <w:tcW w:w="2276" w:type="dxa"/>
            <w:vMerge w:val="continue"/>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10" w:hRule="atLeast"/>
          <w:jc w:val="center"/>
        </w:trPr>
        <w:tc>
          <w:tcPr>
            <w:tcW w:w="577" w:type="dxa"/>
            <w:vMerge w:val="restart"/>
            <w:shd w:val="clear" w:color="auto" w:fill="auto"/>
            <w:vAlign w:val="center"/>
          </w:tcPr>
          <w:p>
            <w:pPr>
              <w:pStyle w:val="179"/>
            </w:pPr>
            <w:r>
              <w:rPr>
                <w:rFonts w:hint="eastAsia"/>
              </w:rPr>
              <w:t>4</w:t>
            </w:r>
          </w:p>
        </w:tc>
        <w:tc>
          <w:tcPr>
            <w:tcW w:w="1560" w:type="dxa"/>
            <w:vMerge w:val="restart"/>
            <w:shd w:val="clear" w:color="auto" w:fill="auto"/>
            <w:vAlign w:val="center"/>
          </w:tcPr>
          <w:p>
            <w:pPr>
              <w:pStyle w:val="179"/>
            </w:pPr>
            <w:r>
              <w:rPr>
                <w:rFonts w:hint="eastAsia"/>
              </w:rPr>
              <w:t>动力装置</w:t>
            </w:r>
          </w:p>
        </w:tc>
        <w:tc>
          <w:tcPr>
            <w:tcW w:w="1275" w:type="dxa"/>
            <w:vMerge w:val="restart"/>
            <w:shd w:val="clear" w:color="auto" w:fill="auto"/>
            <w:vAlign w:val="center"/>
          </w:tcPr>
          <w:p>
            <w:pPr>
              <w:pStyle w:val="179"/>
            </w:pPr>
            <w:r>
              <w:t>普通摩托车</w:t>
            </w:r>
          </w:p>
        </w:tc>
        <w:tc>
          <w:tcPr>
            <w:tcW w:w="3686" w:type="dxa"/>
            <w:shd w:val="clear" w:color="auto" w:fill="auto"/>
            <w:vAlign w:val="center"/>
          </w:tcPr>
          <w:p>
            <w:pPr>
              <w:pStyle w:val="179"/>
              <w:jc w:val="both"/>
            </w:pPr>
            <w:r>
              <w:t>内燃机：排量大于</w:t>
            </w:r>
            <w:r>
              <w:rPr>
                <w:rFonts w:hint="eastAsia"/>
              </w:rPr>
              <w:t>50 mL</w:t>
            </w:r>
          </w:p>
        </w:tc>
        <w:tc>
          <w:tcPr>
            <w:tcW w:w="2276" w:type="dxa"/>
            <w:vMerge w:val="restart"/>
            <w:shd w:val="clear" w:color="auto" w:fill="auto"/>
            <w:vAlign w:val="center"/>
          </w:tcPr>
          <w:p>
            <w:pPr>
              <w:pStyle w:val="179"/>
            </w:pPr>
            <w:r>
              <w:rPr>
                <w:rFonts w:hint="eastAsia"/>
              </w:rPr>
              <w:t>查阅材料，检测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10" w:hRule="atLeast"/>
          <w:jc w:val="center"/>
        </w:trPr>
        <w:tc>
          <w:tcPr>
            <w:tcW w:w="577" w:type="dxa"/>
            <w:vMerge w:val="continue"/>
            <w:shd w:val="clear" w:color="auto" w:fill="auto"/>
            <w:vAlign w:val="center"/>
          </w:tcPr>
          <w:p>
            <w:pPr>
              <w:pStyle w:val="179"/>
            </w:pPr>
          </w:p>
        </w:tc>
        <w:tc>
          <w:tcPr>
            <w:tcW w:w="1560" w:type="dxa"/>
            <w:vMerge w:val="continue"/>
            <w:shd w:val="clear" w:color="auto" w:fill="auto"/>
            <w:vAlign w:val="center"/>
          </w:tcPr>
          <w:p>
            <w:pPr>
              <w:pStyle w:val="179"/>
            </w:pPr>
          </w:p>
        </w:tc>
        <w:tc>
          <w:tcPr>
            <w:tcW w:w="1275" w:type="dxa"/>
            <w:vMerge w:val="continue"/>
            <w:shd w:val="clear" w:color="auto" w:fill="auto"/>
            <w:vAlign w:val="center"/>
          </w:tcPr>
          <w:p>
            <w:pPr>
              <w:pStyle w:val="179"/>
            </w:pPr>
          </w:p>
        </w:tc>
        <w:tc>
          <w:tcPr>
            <w:tcW w:w="3686" w:type="dxa"/>
            <w:shd w:val="clear" w:color="auto" w:fill="auto"/>
            <w:vAlign w:val="center"/>
          </w:tcPr>
          <w:p>
            <w:pPr>
              <w:pStyle w:val="179"/>
              <w:jc w:val="both"/>
            </w:pPr>
            <w:r>
              <w:t>电机：最大连续额定功率总和大于</w:t>
            </w:r>
            <w:r>
              <w:rPr>
                <w:rFonts w:hint="eastAsia"/>
              </w:rPr>
              <w:t>4 kW</w:t>
            </w:r>
          </w:p>
        </w:tc>
        <w:tc>
          <w:tcPr>
            <w:tcW w:w="2276" w:type="dxa"/>
            <w:vMerge w:val="continue"/>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10" w:hRule="atLeast"/>
          <w:jc w:val="center"/>
        </w:trPr>
        <w:tc>
          <w:tcPr>
            <w:tcW w:w="577" w:type="dxa"/>
            <w:vMerge w:val="continue"/>
            <w:shd w:val="clear" w:color="auto" w:fill="auto"/>
            <w:vAlign w:val="center"/>
          </w:tcPr>
          <w:p>
            <w:pPr>
              <w:pStyle w:val="179"/>
            </w:pPr>
          </w:p>
        </w:tc>
        <w:tc>
          <w:tcPr>
            <w:tcW w:w="1560" w:type="dxa"/>
            <w:vMerge w:val="continue"/>
            <w:shd w:val="clear" w:color="auto" w:fill="auto"/>
            <w:vAlign w:val="center"/>
          </w:tcPr>
          <w:p>
            <w:pPr>
              <w:pStyle w:val="179"/>
            </w:pPr>
          </w:p>
        </w:tc>
        <w:tc>
          <w:tcPr>
            <w:tcW w:w="1275" w:type="dxa"/>
            <w:vMerge w:val="restart"/>
            <w:shd w:val="clear" w:color="auto" w:fill="auto"/>
            <w:vAlign w:val="center"/>
          </w:tcPr>
          <w:p>
            <w:pPr>
              <w:pStyle w:val="179"/>
            </w:pPr>
            <w:r>
              <w:t>轻便摩托车</w:t>
            </w:r>
          </w:p>
        </w:tc>
        <w:tc>
          <w:tcPr>
            <w:tcW w:w="3686" w:type="dxa"/>
            <w:shd w:val="clear" w:color="auto" w:fill="auto"/>
            <w:vAlign w:val="center"/>
          </w:tcPr>
          <w:p>
            <w:pPr>
              <w:pStyle w:val="179"/>
              <w:jc w:val="both"/>
            </w:pPr>
            <w:r>
              <w:t>内燃机：排量不大于</w:t>
            </w:r>
            <w:r>
              <w:rPr>
                <w:rFonts w:hint="eastAsia"/>
              </w:rPr>
              <w:t>50 mL</w:t>
            </w:r>
          </w:p>
        </w:tc>
        <w:tc>
          <w:tcPr>
            <w:tcW w:w="2276" w:type="dxa"/>
            <w:vMerge w:val="continue"/>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10" w:hRule="atLeast"/>
          <w:jc w:val="center"/>
        </w:trPr>
        <w:tc>
          <w:tcPr>
            <w:tcW w:w="577" w:type="dxa"/>
            <w:vMerge w:val="continue"/>
            <w:shd w:val="clear" w:color="auto" w:fill="auto"/>
            <w:vAlign w:val="center"/>
          </w:tcPr>
          <w:p>
            <w:pPr>
              <w:pStyle w:val="179"/>
            </w:pPr>
          </w:p>
        </w:tc>
        <w:tc>
          <w:tcPr>
            <w:tcW w:w="1560" w:type="dxa"/>
            <w:vMerge w:val="continue"/>
            <w:shd w:val="clear" w:color="auto" w:fill="auto"/>
            <w:vAlign w:val="center"/>
          </w:tcPr>
          <w:p>
            <w:pPr>
              <w:pStyle w:val="179"/>
            </w:pPr>
          </w:p>
        </w:tc>
        <w:tc>
          <w:tcPr>
            <w:tcW w:w="1275" w:type="dxa"/>
            <w:vMerge w:val="continue"/>
            <w:shd w:val="clear" w:color="auto" w:fill="auto"/>
            <w:vAlign w:val="center"/>
          </w:tcPr>
          <w:p>
            <w:pPr>
              <w:pStyle w:val="179"/>
            </w:pPr>
          </w:p>
        </w:tc>
        <w:tc>
          <w:tcPr>
            <w:tcW w:w="3686" w:type="dxa"/>
            <w:shd w:val="clear" w:color="auto" w:fill="auto"/>
            <w:vAlign w:val="center"/>
          </w:tcPr>
          <w:p>
            <w:pPr>
              <w:pStyle w:val="179"/>
              <w:jc w:val="both"/>
            </w:pPr>
            <w:r>
              <w:t>电机：最大连续额定功率总和不大于</w:t>
            </w:r>
            <w:r>
              <w:rPr>
                <w:rFonts w:hint="eastAsia"/>
              </w:rPr>
              <w:t>4 kW</w:t>
            </w:r>
          </w:p>
        </w:tc>
        <w:tc>
          <w:tcPr>
            <w:tcW w:w="2276" w:type="dxa"/>
            <w:vMerge w:val="continue"/>
            <w:shd w:val="clear" w:color="auto" w:fill="auto"/>
            <w:vAlign w:val="center"/>
          </w:tcPr>
          <w:p>
            <w:pPr>
              <w:pStyle w:val="179"/>
            </w:pPr>
          </w:p>
        </w:tc>
      </w:tr>
    </w:tbl>
    <w:p>
      <w:pPr>
        <w:pStyle w:val="105"/>
        <w:spacing w:before="312" w:after="312"/>
      </w:pPr>
      <w:bookmarkStart w:id="64" w:name="_Toc157154799"/>
      <w:r>
        <w:rPr>
          <w:rFonts w:hint="eastAsia"/>
        </w:rPr>
        <w:t>记录</w:t>
      </w:r>
      <w:bookmarkEnd w:id="64"/>
    </w:p>
    <w:p>
      <w:pPr>
        <w:pStyle w:val="163"/>
        <w:ind w:left="0"/>
        <w:rPr>
          <w:rFonts w:hAnsi="宋体"/>
        </w:rPr>
      </w:pPr>
      <w:bookmarkStart w:id="65" w:name="_Toc127884064"/>
      <w:r>
        <w:rPr>
          <w:rFonts w:hint="eastAsia" w:hAnsi="宋体"/>
        </w:rPr>
        <w:t>应及时、客观并全面地记录与鉴定活动有关的情况，保证鉴定过程的可追溯性。记录的内容应真实、客观、准确、完整和清晰，记录的文本资料和音像资料等应存入鉴定档案。</w:t>
      </w:r>
      <w:bookmarkEnd w:id="65"/>
    </w:p>
    <w:p>
      <w:pPr>
        <w:pStyle w:val="163"/>
        <w:ind w:left="0"/>
        <w:rPr>
          <w:rFonts w:hAnsi="宋体"/>
        </w:rPr>
      </w:pPr>
      <w:bookmarkStart w:id="66" w:name="_Toc127884065"/>
      <w:r>
        <w:rPr>
          <w:rFonts w:hint="eastAsia" w:hAnsi="宋体"/>
        </w:rPr>
        <w:t>记录应能反映出检验时间、参加人员、使用工具、鉴定过程和检验结果等信息。</w:t>
      </w:r>
      <w:bookmarkEnd w:id="66"/>
    </w:p>
    <w:p>
      <w:pPr>
        <w:pStyle w:val="163"/>
        <w:ind w:left="0"/>
        <w:rPr>
          <w:rFonts w:hAnsi="宋体"/>
        </w:rPr>
      </w:pPr>
      <w:bookmarkStart w:id="67" w:name="_Toc127884066"/>
      <w:r>
        <w:rPr>
          <w:rFonts w:hint="eastAsia" w:hAnsi="宋体"/>
        </w:rPr>
        <w:t>记录可采用文字、绘图、录音、拍照和录像等方式。现场勘查中的拍照记录，应符合GA</w:t>
      </w:r>
      <w:r>
        <w:rPr>
          <w:rFonts w:hAnsi="宋体"/>
        </w:rPr>
        <w:t>/</w:t>
      </w:r>
      <w:r>
        <w:rPr>
          <w:rFonts w:hint="eastAsia" w:hAnsi="宋体"/>
        </w:rPr>
        <w:t>T</w:t>
      </w:r>
      <w:r>
        <w:rPr>
          <w:rFonts w:hAnsi="宋体"/>
        </w:rPr>
        <w:t xml:space="preserve"> </w:t>
      </w:r>
      <w:r>
        <w:rPr>
          <w:rFonts w:hint="eastAsia" w:hAnsi="宋体"/>
        </w:rPr>
        <w:t>50的要求。使用拍照或录像进行记录的，不应对原始图像进行修改。</w:t>
      </w:r>
      <w:bookmarkEnd w:id="67"/>
    </w:p>
    <w:p>
      <w:pPr>
        <w:pStyle w:val="105"/>
        <w:spacing w:before="312" w:after="312"/>
      </w:pPr>
      <w:bookmarkStart w:id="68" w:name="_Toc157154800"/>
      <w:r>
        <w:rPr>
          <w:rFonts w:hint="eastAsia"/>
        </w:rPr>
        <w:t>鉴定意见</w:t>
      </w:r>
      <w:bookmarkEnd w:id="68"/>
    </w:p>
    <w:p>
      <w:pPr>
        <w:pStyle w:val="57"/>
        <w:ind w:firstLine="420"/>
      </w:pPr>
      <w:r>
        <w:rPr>
          <w:rFonts w:hint="eastAsia"/>
        </w:rPr>
        <w:t>鉴定已经应客观反映测量结果，并据此作出评价。鉴定意见可表述为：</w:t>
      </w:r>
    </w:p>
    <w:p>
      <w:pPr>
        <w:pStyle w:val="175"/>
        <w:numPr>
          <w:ilvl w:val="0"/>
          <w:numId w:val="35"/>
        </w:numPr>
      </w:pPr>
      <w:r>
        <w:rPr>
          <w:rFonts w:hint="eastAsia"/>
        </w:rPr>
        <w:t>该车辆符合《电动自行车安全技术规范》（GB 17761）规定的电动自行车特征，应属于非机动车；</w:t>
      </w:r>
    </w:p>
    <w:p>
      <w:pPr>
        <w:pStyle w:val="175"/>
        <w:numPr>
          <w:ilvl w:val="0"/>
          <w:numId w:val="35"/>
        </w:numPr>
      </w:pPr>
      <w:r>
        <w:rPr>
          <w:rFonts w:hint="eastAsia"/>
        </w:rPr>
        <w:t>该车辆符合《机动轮椅车》（GB 12995）规定的机动轮椅车特征，应属于非机动车；</w:t>
      </w:r>
    </w:p>
    <w:p>
      <w:pPr>
        <w:pStyle w:val="175"/>
        <w:numPr>
          <w:ilvl w:val="0"/>
          <w:numId w:val="35"/>
        </w:numPr>
      </w:pPr>
      <w:r>
        <w:rPr>
          <w:rFonts w:hint="eastAsia"/>
        </w:rPr>
        <w:t>该车辆符合《电动轮椅车》（GB/T 12996）规定的电动轮椅车特征，应属于非机动车；</w:t>
      </w:r>
    </w:p>
    <w:p>
      <w:pPr>
        <w:pStyle w:val="175"/>
        <w:numPr>
          <w:ilvl w:val="0"/>
          <w:numId w:val="35"/>
        </w:numPr>
      </w:pPr>
      <w:r>
        <w:rPr>
          <w:rFonts w:hint="eastAsia"/>
        </w:rPr>
        <w:t>该车辆符合《机动车运行安全技术条件》（GB 7258）规定的普通摩托车特征，应属于机动车；</w:t>
      </w:r>
    </w:p>
    <w:p>
      <w:pPr>
        <w:pStyle w:val="175"/>
        <w:numPr>
          <w:ilvl w:val="0"/>
          <w:numId w:val="35"/>
        </w:numPr>
      </w:pPr>
      <w:r>
        <w:rPr>
          <w:rFonts w:hint="eastAsia"/>
        </w:rPr>
        <w:t>该车辆符合《机动车运行安全技术条件》（GB 7258）规定的轻便摩托车特征，应属于机动车；</w:t>
      </w:r>
    </w:p>
    <w:p>
      <w:pPr>
        <w:pStyle w:val="175"/>
        <w:numPr>
          <w:ilvl w:val="0"/>
          <w:numId w:val="35"/>
        </w:numPr>
      </w:pPr>
      <w:r>
        <w:rPr>
          <w:rFonts w:hint="eastAsia"/>
        </w:rPr>
        <w:t>该车辆符合《机动车运行安全技术条件》（GB 7258）规定的特征，应属于机动车。</w:t>
      </w:r>
    </w:p>
    <w:p>
      <w:pPr>
        <w:pStyle w:val="175"/>
        <w:numPr>
          <w:ilvl w:val="0"/>
          <w:numId w:val="35"/>
        </w:numPr>
        <w:sectPr>
          <w:headerReference r:id="rId17" w:type="default"/>
          <w:footerReference r:id="rId19" w:type="default"/>
          <w:headerReference r:id="rId18" w:type="even"/>
          <w:footerReference r:id="rId20" w:type="even"/>
          <w:pgSz w:w="11906" w:h="16838"/>
          <w:pgMar w:top="2410" w:right="1134" w:bottom="1134" w:left="1134" w:header="1418" w:footer="1134" w:gutter="284"/>
          <w:pgNumType w:start="1"/>
          <w:cols w:space="425" w:num="1"/>
          <w:formProt w:val="0"/>
          <w:docGrid w:type="lines" w:linePitch="312" w:charSpace="0"/>
        </w:sectPr>
      </w:pPr>
    </w:p>
    <w:bookmarkEnd w:id="27"/>
    <w:p>
      <w:pPr>
        <w:pStyle w:val="199"/>
        <w:rPr>
          <w:vanish w:val="0"/>
        </w:rPr>
      </w:pPr>
      <w:bookmarkStart w:id="69" w:name="BookMark5"/>
    </w:p>
    <w:p>
      <w:pPr>
        <w:pStyle w:val="200"/>
        <w:rPr>
          <w:vanish w:val="0"/>
        </w:rPr>
      </w:pPr>
    </w:p>
    <w:p>
      <w:pPr>
        <w:pStyle w:val="77"/>
        <w:spacing w:before="78" w:after="156"/>
      </w:pPr>
      <w:r>
        <w:t xml:space="preserve"> </w:t>
      </w:r>
      <w:bookmarkStart w:id="70" w:name="_Toc157154801"/>
      <w:r>
        <w:rPr>
          <w:rFonts w:hint="eastAsia"/>
        </w:rPr>
        <w:t>道路车辆类型鉴定原始记录表格</w:t>
      </w:r>
      <w:bookmarkEnd w:id="70"/>
      <w:r>
        <w:br w:type="textWrapping"/>
      </w:r>
    </w:p>
    <w:tbl>
      <w:tblPr>
        <w:tblStyle w:val="2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5"/>
        <w:gridCol w:w="1451"/>
        <w:gridCol w:w="2593"/>
        <w:gridCol w:w="1947"/>
        <w:gridCol w:w="27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426" w:type="pct"/>
            <w:vMerge w:val="restart"/>
            <w:tcBorders>
              <w:top w:val="single" w:color="auto" w:sz="12" w:space="0"/>
              <w:left w:val="single" w:color="auto" w:sz="12" w:space="0"/>
              <w:bottom w:val="single" w:color="auto" w:sz="4" w:space="0"/>
              <w:right w:val="single" w:color="auto" w:sz="6" w:space="0"/>
            </w:tcBorders>
            <w:vAlign w:val="center"/>
          </w:tcPr>
          <w:p>
            <w:pPr>
              <w:keepNext/>
              <w:widowControl/>
              <w:jc w:val="center"/>
              <w:rPr>
                <w:rFonts w:ascii="宋体" w:hAnsi="宋体"/>
              </w:rPr>
            </w:pPr>
            <w:r>
              <w:rPr>
                <w:rFonts w:hint="eastAsia" w:ascii="宋体" w:hAnsi="宋体"/>
              </w:rPr>
              <w:t>车辆信息</w:t>
            </w:r>
          </w:p>
        </w:tc>
        <w:tc>
          <w:tcPr>
            <w:tcW w:w="758" w:type="pct"/>
            <w:tcBorders>
              <w:top w:val="single" w:color="auto" w:sz="12" w:space="0"/>
              <w:left w:val="nil"/>
              <w:bottom w:val="single" w:color="auto" w:sz="8" w:space="0"/>
              <w:right w:val="single" w:color="auto" w:sz="6" w:space="0"/>
            </w:tcBorders>
            <w:vAlign w:val="center"/>
          </w:tcPr>
          <w:p>
            <w:pPr>
              <w:keepNext/>
              <w:widowControl/>
              <w:jc w:val="center"/>
              <w:rPr>
                <w:rFonts w:ascii="宋体" w:hAnsi="宋体"/>
              </w:rPr>
            </w:pPr>
            <w:r>
              <w:rPr>
                <w:rFonts w:hint="eastAsia" w:ascii="宋体" w:hAnsi="宋体"/>
              </w:rPr>
              <w:t>品牌型号</w:t>
            </w:r>
          </w:p>
        </w:tc>
        <w:tc>
          <w:tcPr>
            <w:tcW w:w="1355" w:type="pct"/>
            <w:tcBorders>
              <w:top w:val="single" w:color="auto" w:sz="12" w:space="0"/>
              <w:left w:val="nil"/>
              <w:bottom w:val="single" w:color="auto" w:sz="8" w:space="0"/>
              <w:right w:val="single" w:color="auto" w:sz="6" w:space="0"/>
            </w:tcBorders>
            <w:vAlign w:val="center"/>
          </w:tcPr>
          <w:p>
            <w:pPr>
              <w:keepNext/>
              <w:widowControl/>
              <w:jc w:val="center"/>
              <w:rPr>
                <w:rFonts w:ascii="宋体" w:hAnsi="宋体"/>
              </w:rPr>
            </w:pPr>
          </w:p>
        </w:tc>
        <w:tc>
          <w:tcPr>
            <w:tcW w:w="1017" w:type="pct"/>
            <w:tcBorders>
              <w:top w:val="single" w:color="auto" w:sz="12" w:space="0"/>
              <w:left w:val="nil"/>
              <w:bottom w:val="single" w:color="auto" w:sz="8" w:space="0"/>
              <w:right w:val="single" w:color="auto" w:sz="6" w:space="0"/>
            </w:tcBorders>
            <w:vAlign w:val="center"/>
          </w:tcPr>
          <w:p>
            <w:pPr>
              <w:keepNext/>
              <w:widowControl/>
              <w:jc w:val="center"/>
              <w:rPr>
                <w:rFonts w:ascii="宋体" w:hAnsi="宋体"/>
              </w:rPr>
            </w:pPr>
            <w:r>
              <w:rPr>
                <w:rFonts w:hint="eastAsia" w:ascii="宋体" w:hAnsi="宋体"/>
              </w:rPr>
              <w:t>车辆号牌</w:t>
            </w:r>
          </w:p>
        </w:tc>
        <w:tc>
          <w:tcPr>
            <w:tcW w:w="1444" w:type="pct"/>
            <w:tcBorders>
              <w:top w:val="single" w:color="auto" w:sz="12" w:space="0"/>
              <w:left w:val="nil"/>
              <w:bottom w:val="single" w:color="auto" w:sz="8" w:space="0"/>
              <w:right w:val="single" w:color="auto" w:sz="12" w:space="0"/>
            </w:tcBorders>
            <w:vAlign w:val="center"/>
          </w:tcPr>
          <w:p>
            <w:pPr>
              <w:keepNext/>
              <w:widowControl/>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426" w:type="pct"/>
            <w:vMerge w:val="continue"/>
            <w:tcBorders>
              <w:top w:val="single" w:color="auto" w:sz="12" w:space="0"/>
              <w:left w:val="single" w:color="auto" w:sz="12" w:space="0"/>
              <w:bottom w:val="single" w:color="auto" w:sz="4" w:space="0"/>
              <w:right w:val="single" w:color="auto" w:sz="6" w:space="0"/>
            </w:tcBorders>
            <w:vAlign w:val="center"/>
          </w:tcPr>
          <w:p>
            <w:pPr>
              <w:widowControl/>
              <w:adjustRightInd/>
              <w:spacing w:line="240" w:lineRule="auto"/>
              <w:jc w:val="left"/>
              <w:rPr>
                <w:rFonts w:ascii="宋体" w:hAnsi="宋体"/>
              </w:rPr>
            </w:pPr>
          </w:p>
        </w:tc>
        <w:tc>
          <w:tcPr>
            <w:tcW w:w="758" w:type="pct"/>
            <w:tcBorders>
              <w:top w:val="single" w:color="auto" w:sz="8" w:space="0"/>
              <w:left w:val="nil"/>
              <w:bottom w:val="single" w:color="auto" w:sz="6" w:space="0"/>
              <w:right w:val="single" w:color="auto" w:sz="6" w:space="0"/>
            </w:tcBorders>
            <w:vAlign w:val="center"/>
          </w:tcPr>
          <w:p>
            <w:pPr>
              <w:keepNext/>
              <w:widowControl/>
              <w:jc w:val="center"/>
              <w:rPr>
                <w:rFonts w:ascii="宋体" w:hAnsi="宋体"/>
              </w:rPr>
            </w:pPr>
            <w:r>
              <w:rPr>
                <w:rFonts w:hint="eastAsia" w:ascii="宋体" w:hAnsi="宋体"/>
              </w:rPr>
              <w:t>生产日期</w:t>
            </w:r>
          </w:p>
        </w:tc>
        <w:tc>
          <w:tcPr>
            <w:tcW w:w="1355" w:type="pct"/>
            <w:tcBorders>
              <w:top w:val="single" w:color="auto" w:sz="8" w:space="0"/>
              <w:left w:val="nil"/>
              <w:bottom w:val="single" w:color="auto" w:sz="6" w:space="0"/>
              <w:right w:val="single" w:color="auto" w:sz="6" w:space="0"/>
            </w:tcBorders>
            <w:vAlign w:val="center"/>
          </w:tcPr>
          <w:p>
            <w:pPr>
              <w:keepNext/>
              <w:widowControl/>
              <w:jc w:val="center"/>
              <w:rPr>
                <w:rFonts w:ascii="宋体" w:hAnsi="宋体"/>
              </w:rPr>
            </w:pPr>
          </w:p>
        </w:tc>
        <w:tc>
          <w:tcPr>
            <w:tcW w:w="1017" w:type="pct"/>
            <w:tcBorders>
              <w:top w:val="single" w:color="auto" w:sz="8" w:space="0"/>
              <w:left w:val="nil"/>
              <w:bottom w:val="single" w:color="auto" w:sz="6" w:space="0"/>
              <w:right w:val="single" w:color="auto" w:sz="6" w:space="0"/>
            </w:tcBorders>
            <w:vAlign w:val="center"/>
          </w:tcPr>
          <w:p>
            <w:pPr>
              <w:keepNext/>
              <w:widowControl/>
              <w:jc w:val="center"/>
              <w:rPr>
                <w:rFonts w:ascii="宋体" w:hAnsi="宋体"/>
              </w:rPr>
            </w:pPr>
            <w:r>
              <w:rPr>
                <w:rFonts w:hint="eastAsia" w:ascii="宋体" w:hAnsi="宋体"/>
              </w:rPr>
              <w:t>整车质量</w:t>
            </w:r>
          </w:p>
        </w:tc>
        <w:tc>
          <w:tcPr>
            <w:tcW w:w="1444" w:type="pct"/>
            <w:tcBorders>
              <w:top w:val="single" w:color="auto" w:sz="8" w:space="0"/>
              <w:left w:val="nil"/>
              <w:bottom w:val="single" w:color="auto" w:sz="6" w:space="0"/>
              <w:right w:val="single" w:color="auto" w:sz="12" w:space="0"/>
            </w:tcBorders>
            <w:vAlign w:val="center"/>
          </w:tcPr>
          <w:p>
            <w:pPr>
              <w:keepNext/>
              <w:widowControl/>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426" w:type="pct"/>
            <w:vMerge w:val="continue"/>
            <w:tcBorders>
              <w:top w:val="single" w:color="auto" w:sz="12" w:space="0"/>
              <w:left w:val="single" w:color="auto" w:sz="12" w:space="0"/>
              <w:bottom w:val="single" w:color="auto" w:sz="4" w:space="0"/>
              <w:right w:val="single" w:color="auto" w:sz="6" w:space="0"/>
            </w:tcBorders>
            <w:vAlign w:val="center"/>
          </w:tcPr>
          <w:p>
            <w:pPr>
              <w:widowControl/>
              <w:adjustRightInd/>
              <w:spacing w:line="240" w:lineRule="auto"/>
              <w:jc w:val="left"/>
              <w:rPr>
                <w:rFonts w:ascii="宋体" w:hAnsi="宋体"/>
              </w:rPr>
            </w:pPr>
          </w:p>
        </w:tc>
        <w:tc>
          <w:tcPr>
            <w:tcW w:w="758" w:type="pct"/>
            <w:tcBorders>
              <w:top w:val="single" w:color="auto" w:sz="8" w:space="0"/>
              <w:left w:val="nil"/>
              <w:bottom w:val="single" w:color="auto" w:sz="6" w:space="0"/>
              <w:right w:val="single" w:color="auto" w:sz="6" w:space="0"/>
            </w:tcBorders>
            <w:vAlign w:val="center"/>
          </w:tcPr>
          <w:p>
            <w:pPr>
              <w:keepNext/>
              <w:widowControl/>
              <w:jc w:val="center"/>
              <w:rPr>
                <w:rFonts w:ascii="宋体" w:hAnsi="宋体"/>
              </w:rPr>
            </w:pPr>
            <w:r>
              <w:rPr>
                <w:rFonts w:hint="eastAsia" w:ascii="宋体" w:hAnsi="宋体"/>
              </w:rPr>
              <w:t>最大</w:t>
            </w:r>
          </w:p>
          <w:p>
            <w:pPr>
              <w:keepNext/>
              <w:widowControl/>
              <w:jc w:val="center"/>
              <w:rPr>
                <w:rFonts w:ascii="宋体" w:hAnsi="宋体"/>
              </w:rPr>
            </w:pPr>
            <w:r>
              <w:rPr>
                <w:rFonts w:hint="eastAsia" w:ascii="宋体" w:hAnsi="宋体"/>
              </w:rPr>
              <w:t>设计车速</w:t>
            </w:r>
          </w:p>
        </w:tc>
        <w:tc>
          <w:tcPr>
            <w:tcW w:w="1355" w:type="pct"/>
            <w:tcBorders>
              <w:top w:val="single" w:color="auto" w:sz="8" w:space="0"/>
              <w:left w:val="nil"/>
              <w:bottom w:val="single" w:color="auto" w:sz="6" w:space="0"/>
              <w:right w:val="single" w:color="auto" w:sz="6" w:space="0"/>
            </w:tcBorders>
            <w:vAlign w:val="center"/>
          </w:tcPr>
          <w:p>
            <w:pPr>
              <w:keepNext/>
              <w:widowControl/>
              <w:jc w:val="center"/>
              <w:rPr>
                <w:rFonts w:ascii="宋体" w:hAnsi="宋体"/>
              </w:rPr>
            </w:pPr>
          </w:p>
        </w:tc>
        <w:tc>
          <w:tcPr>
            <w:tcW w:w="1017" w:type="pct"/>
            <w:tcBorders>
              <w:top w:val="single" w:color="auto" w:sz="8" w:space="0"/>
              <w:left w:val="nil"/>
              <w:bottom w:val="single" w:color="auto" w:sz="6" w:space="0"/>
              <w:right w:val="single" w:color="auto" w:sz="6" w:space="0"/>
            </w:tcBorders>
            <w:vAlign w:val="center"/>
          </w:tcPr>
          <w:p>
            <w:pPr>
              <w:keepNext/>
              <w:widowControl/>
              <w:jc w:val="center"/>
              <w:rPr>
                <w:rFonts w:ascii="宋体" w:hAnsi="宋体"/>
              </w:rPr>
            </w:pPr>
            <w:r>
              <w:rPr>
                <w:rFonts w:hint="eastAsia" w:ascii="宋体" w:hAnsi="宋体"/>
              </w:rPr>
              <w:t>外廓尺寸</w:t>
            </w:r>
          </w:p>
        </w:tc>
        <w:tc>
          <w:tcPr>
            <w:tcW w:w="1444" w:type="pct"/>
            <w:tcBorders>
              <w:top w:val="single" w:color="auto" w:sz="8" w:space="0"/>
              <w:left w:val="nil"/>
              <w:bottom w:val="single" w:color="auto" w:sz="6" w:space="0"/>
              <w:right w:val="single" w:color="auto" w:sz="12" w:space="0"/>
            </w:tcBorders>
            <w:vAlign w:val="center"/>
          </w:tcPr>
          <w:p>
            <w:pPr>
              <w:keepNext/>
              <w:widowControl/>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426" w:type="pct"/>
            <w:vMerge w:val="continue"/>
            <w:tcBorders>
              <w:top w:val="single" w:color="auto" w:sz="12" w:space="0"/>
              <w:left w:val="single" w:color="auto" w:sz="12" w:space="0"/>
              <w:bottom w:val="single" w:color="auto" w:sz="4" w:space="0"/>
              <w:right w:val="single" w:color="auto" w:sz="6" w:space="0"/>
            </w:tcBorders>
            <w:vAlign w:val="center"/>
          </w:tcPr>
          <w:p>
            <w:pPr>
              <w:widowControl/>
              <w:adjustRightInd/>
              <w:spacing w:line="240" w:lineRule="auto"/>
              <w:jc w:val="left"/>
              <w:rPr>
                <w:rFonts w:ascii="宋体" w:hAnsi="宋体"/>
              </w:rPr>
            </w:pPr>
          </w:p>
        </w:tc>
        <w:tc>
          <w:tcPr>
            <w:tcW w:w="758" w:type="pct"/>
            <w:tcBorders>
              <w:top w:val="single" w:color="auto" w:sz="6" w:space="0"/>
              <w:left w:val="nil"/>
              <w:bottom w:val="single" w:color="auto" w:sz="12" w:space="0"/>
              <w:right w:val="single" w:color="auto" w:sz="6" w:space="0"/>
            </w:tcBorders>
            <w:vAlign w:val="center"/>
          </w:tcPr>
          <w:p>
            <w:pPr>
              <w:keepNext/>
              <w:widowControl/>
              <w:jc w:val="center"/>
              <w:rPr>
                <w:rFonts w:ascii="宋体" w:hAnsi="宋体"/>
              </w:rPr>
            </w:pPr>
            <w:r>
              <w:rPr>
                <w:rFonts w:hint="eastAsia" w:ascii="宋体" w:hAnsi="宋体"/>
              </w:rPr>
              <w:t>唯一性编码</w:t>
            </w:r>
          </w:p>
        </w:tc>
        <w:tc>
          <w:tcPr>
            <w:tcW w:w="3816" w:type="pct"/>
            <w:gridSpan w:val="3"/>
            <w:tcBorders>
              <w:top w:val="single" w:color="auto" w:sz="6" w:space="0"/>
              <w:left w:val="nil"/>
              <w:bottom w:val="single" w:color="auto" w:sz="12" w:space="0"/>
              <w:right w:val="single" w:color="auto" w:sz="12" w:space="0"/>
            </w:tcBorders>
            <w:vAlign w:val="center"/>
          </w:tcPr>
          <w:p>
            <w:pPr>
              <w:keepNext/>
              <w:widowControl/>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426" w:type="pct"/>
            <w:vMerge w:val="restart"/>
            <w:tcBorders>
              <w:top w:val="single" w:color="auto" w:sz="12" w:space="0"/>
              <w:left w:val="single" w:color="auto" w:sz="12" w:space="0"/>
              <w:bottom w:val="single" w:color="auto" w:sz="12" w:space="0"/>
              <w:right w:val="single" w:color="auto" w:sz="6" w:space="0"/>
            </w:tcBorders>
            <w:vAlign w:val="center"/>
          </w:tcPr>
          <w:p>
            <w:pPr>
              <w:keepNext/>
              <w:widowControl/>
              <w:jc w:val="center"/>
              <w:rPr>
                <w:rFonts w:ascii="宋体" w:hAnsi="宋体"/>
              </w:rPr>
            </w:pPr>
            <w:r>
              <w:rPr>
                <w:rFonts w:hint="eastAsia" w:ascii="宋体" w:hAnsi="宋体"/>
              </w:rPr>
              <w:t>外观</w:t>
            </w:r>
          </w:p>
        </w:tc>
        <w:tc>
          <w:tcPr>
            <w:tcW w:w="758" w:type="pct"/>
            <w:tcBorders>
              <w:top w:val="single" w:color="auto" w:sz="12" w:space="0"/>
              <w:left w:val="nil"/>
              <w:bottom w:val="single" w:color="auto" w:sz="6" w:space="0"/>
              <w:right w:val="single" w:color="auto" w:sz="6" w:space="0"/>
            </w:tcBorders>
            <w:vAlign w:val="center"/>
          </w:tcPr>
          <w:p>
            <w:pPr>
              <w:keepNext/>
              <w:widowControl/>
              <w:jc w:val="center"/>
              <w:rPr>
                <w:rFonts w:ascii="宋体" w:hAnsi="宋体"/>
              </w:rPr>
            </w:pPr>
            <w:r>
              <w:rPr>
                <w:rFonts w:hint="eastAsia" w:ascii="宋体" w:hAnsi="宋体"/>
              </w:rPr>
              <w:t>车身颜色</w:t>
            </w:r>
          </w:p>
        </w:tc>
        <w:tc>
          <w:tcPr>
            <w:tcW w:w="1355" w:type="pct"/>
            <w:tcBorders>
              <w:top w:val="single" w:color="auto" w:sz="12" w:space="0"/>
              <w:left w:val="nil"/>
              <w:bottom w:val="single" w:color="auto" w:sz="6" w:space="0"/>
              <w:right w:val="single" w:color="auto" w:sz="6" w:space="0"/>
            </w:tcBorders>
            <w:vAlign w:val="center"/>
          </w:tcPr>
          <w:p>
            <w:pPr>
              <w:keepNext/>
              <w:widowControl/>
              <w:jc w:val="center"/>
              <w:rPr>
                <w:rFonts w:ascii="宋体" w:hAnsi="宋体"/>
              </w:rPr>
            </w:pPr>
          </w:p>
        </w:tc>
        <w:tc>
          <w:tcPr>
            <w:tcW w:w="1017" w:type="pct"/>
            <w:tcBorders>
              <w:top w:val="single" w:color="auto" w:sz="12" w:space="0"/>
              <w:left w:val="nil"/>
              <w:bottom w:val="single" w:color="auto" w:sz="6" w:space="0"/>
              <w:right w:val="single" w:color="auto" w:sz="6" w:space="0"/>
            </w:tcBorders>
            <w:vAlign w:val="center"/>
          </w:tcPr>
          <w:p>
            <w:pPr>
              <w:keepNext/>
              <w:widowControl/>
              <w:jc w:val="center"/>
              <w:rPr>
                <w:rFonts w:ascii="宋体" w:hAnsi="宋体"/>
              </w:rPr>
            </w:pPr>
            <w:r>
              <w:rPr>
                <w:rFonts w:hint="eastAsia" w:ascii="宋体" w:hAnsi="宋体"/>
              </w:rPr>
              <w:t>特征标识</w:t>
            </w:r>
          </w:p>
        </w:tc>
        <w:tc>
          <w:tcPr>
            <w:tcW w:w="1444" w:type="pct"/>
            <w:tcBorders>
              <w:top w:val="single" w:color="auto" w:sz="12" w:space="0"/>
              <w:left w:val="nil"/>
              <w:bottom w:val="single" w:color="auto" w:sz="6" w:space="0"/>
              <w:right w:val="single" w:color="auto" w:sz="12" w:space="0"/>
            </w:tcBorders>
            <w:vAlign w:val="center"/>
          </w:tcPr>
          <w:p>
            <w:pPr>
              <w:keepNext/>
              <w:widowControl/>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trPr>
        <w:tc>
          <w:tcPr>
            <w:tcW w:w="426" w:type="pct"/>
            <w:vMerge w:val="continue"/>
            <w:tcBorders>
              <w:top w:val="single" w:color="auto" w:sz="12" w:space="0"/>
              <w:left w:val="single" w:color="auto" w:sz="12" w:space="0"/>
              <w:bottom w:val="single" w:color="auto" w:sz="12" w:space="0"/>
              <w:right w:val="single" w:color="auto" w:sz="6" w:space="0"/>
            </w:tcBorders>
            <w:vAlign w:val="center"/>
          </w:tcPr>
          <w:p>
            <w:pPr>
              <w:widowControl/>
              <w:adjustRightInd/>
              <w:spacing w:line="240" w:lineRule="auto"/>
              <w:jc w:val="left"/>
              <w:rPr>
                <w:rFonts w:ascii="宋体" w:hAnsi="宋体"/>
              </w:rPr>
            </w:pPr>
          </w:p>
        </w:tc>
        <w:tc>
          <w:tcPr>
            <w:tcW w:w="758" w:type="pct"/>
            <w:tcBorders>
              <w:top w:val="single" w:color="auto" w:sz="6" w:space="0"/>
              <w:left w:val="nil"/>
              <w:bottom w:val="single" w:color="auto" w:sz="6" w:space="0"/>
              <w:right w:val="single" w:color="auto" w:sz="6" w:space="0"/>
            </w:tcBorders>
            <w:vAlign w:val="center"/>
          </w:tcPr>
          <w:p>
            <w:pPr>
              <w:keepNext/>
              <w:widowControl/>
              <w:jc w:val="center"/>
              <w:rPr>
                <w:rFonts w:ascii="宋体" w:hAnsi="宋体"/>
              </w:rPr>
            </w:pPr>
            <w:r>
              <w:rPr>
                <w:rFonts w:hint="eastAsia" w:ascii="宋体" w:hAnsi="宋体"/>
              </w:rPr>
              <w:t>驱动形式</w:t>
            </w:r>
          </w:p>
        </w:tc>
        <w:tc>
          <w:tcPr>
            <w:tcW w:w="1355" w:type="pct"/>
            <w:tcBorders>
              <w:top w:val="single" w:color="auto" w:sz="6" w:space="0"/>
              <w:left w:val="nil"/>
              <w:bottom w:val="single" w:color="auto" w:sz="6" w:space="0"/>
              <w:right w:val="single" w:color="auto" w:sz="6" w:space="0"/>
            </w:tcBorders>
            <w:vAlign w:val="center"/>
          </w:tcPr>
          <w:p>
            <w:pPr>
              <w:keepNext/>
              <w:widowControl/>
              <w:rPr>
                <w:rFonts w:ascii="宋体" w:hAnsi="宋体"/>
              </w:rPr>
            </w:pPr>
            <w:r>
              <w:rPr>
                <w:rFonts w:hint="eastAsia" w:ascii="宋体" w:hAnsi="宋体"/>
              </w:rPr>
              <w:t>□电驱动  □电助</w:t>
            </w:r>
          </w:p>
          <w:p>
            <w:pPr>
              <w:keepNext/>
              <w:widowControl/>
              <w:rPr>
                <w:rFonts w:ascii="宋体" w:hAnsi="宋体"/>
              </w:rPr>
            </w:pPr>
            <w:r>
              <w:rPr>
                <w:rFonts w:hint="eastAsia" w:ascii="宋体" w:hAnsi="宋体"/>
              </w:rPr>
              <w:t>□内燃机  □其他</w:t>
            </w:r>
          </w:p>
        </w:tc>
        <w:tc>
          <w:tcPr>
            <w:tcW w:w="1017" w:type="pct"/>
            <w:tcBorders>
              <w:top w:val="single" w:color="auto" w:sz="6" w:space="0"/>
              <w:left w:val="nil"/>
              <w:bottom w:val="single" w:color="auto" w:sz="6" w:space="0"/>
              <w:right w:val="single" w:color="auto" w:sz="6" w:space="0"/>
            </w:tcBorders>
            <w:vAlign w:val="center"/>
          </w:tcPr>
          <w:p>
            <w:pPr>
              <w:keepNext/>
              <w:widowControl/>
              <w:jc w:val="center"/>
              <w:rPr>
                <w:rFonts w:ascii="宋体" w:hAnsi="宋体"/>
              </w:rPr>
            </w:pPr>
            <w:r>
              <w:rPr>
                <w:rFonts w:hint="eastAsia" w:ascii="宋体" w:hAnsi="宋体"/>
              </w:rPr>
              <w:t>轮胎数</w:t>
            </w:r>
          </w:p>
        </w:tc>
        <w:tc>
          <w:tcPr>
            <w:tcW w:w="1444" w:type="pct"/>
            <w:tcBorders>
              <w:top w:val="single" w:color="auto" w:sz="6" w:space="0"/>
              <w:left w:val="nil"/>
              <w:bottom w:val="single" w:color="auto" w:sz="6" w:space="0"/>
              <w:right w:val="single" w:color="auto" w:sz="12" w:space="0"/>
            </w:tcBorders>
            <w:vAlign w:val="center"/>
          </w:tcPr>
          <w:p>
            <w:pPr>
              <w:keepNext/>
              <w:widowControl/>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426" w:type="pct"/>
            <w:vMerge w:val="continue"/>
            <w:tcBorders>
              <w:top w:val="single" w:color="auto" w:sz="12" w:space="0"/>
              <w:left w:val="single" w:color="auto" w:sz="12" w:space="0"/>
              <w:bottom w:val="single" w:color="auto" w:sz="12" w:space="0"/>
              <w:right w:val="single" w:color="auto" w:sz="6" w:space="0"/>
            </w:tcBorders>
            <w:vAlign w:val="center"/>
          </w:tcPr>
          <w:p>
            <w:pPr>
              <w:widowControl/>
              <w:adjustRightInd/>
              <w:spacing w:line="240" w:lineRule="auto"/>
              <w:jc w:val="left"/>
              <w:rPr>
                <w:rFonts w:ascii="宋体" w:hAnsi="宋体"/>
              </w:rPr>
            </w:pPr>
          </w:p>
        </w:tc>
        <w:tc>
          <w:tcPr>
            <w:tcW w:w="758" w:type="pct"/>
            <w:tcBorders>
              <w:top w:val="single" w:color="auto" w:sz="6" w:space="0"/>
              <w:left w:val="nil"/>
              <w:bottom w:val="single" w:color="auto" w:sz="6" w:space="0"/>
              <w:right w:val="single" w:color="auto" w:sz="6" w:space="0"/>
            </w:tcBorders>
            <w:vAlign w:val="center"/>
          </w:tcPr>
          <w:p>
            <w:pPr>
              <w:keepNext/>
              <w:widowControl/>
              <w:jc w:val="center"/>
              <w:rPr>
                <w:rFonts w:ascii="宋体" w:hAnsi="宋体"/>
              </w:rPr>
            </w:pPr>
            <w:r>
              <w:rPr>
                <w:rFonts w:hint="eastAsia" w:ascii="宋体" w:hAnsi="宋体"/>
              </w:rPr>
              <w:t>轮胎分布</w:t>
            </w:r>
          </w:p>
        </w:tc>
        <w:tc>
          <w:tcPr>
            <w:tcW w:w="3816" w:type="pct"/>
            <w:gridSpan w:val="3"/>
            <w:tcBorders>
              <w:top w:val="single" w:color="auto" w:sz="6" w:space="0"/>
              <w:left w:val="nil"/>
              <w:bottom w:val="single" w:color="auto" w:sz="6" w:space="0"/>
              <w:right w:val="single" w:color="auto" w:sz="12" w:space="0"/>
            </w:tcBorders>
            <w:vAlign w:val="center"/>
          </w:tcPr>
          <w:p>
            <w:pPr>
              <w:keepNext/>
              <w:widowControl/>
              <w:rPr>
                <w:rFonts w:ascii="宋体" w:hAnsi="宋体"/>
              </w:rPr>
            </w:pPr>
            <w:r>
              <w:rPr>
                <w:rFonts w:hint="eastAsia" w:ascii="宋体" w:hAnsi="宋体"/>
              </w:rPr>
              <w:t>□四轮  □正三轮  □边三轮  □两轮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trPr>
        <w:tc>
          <w:tcPr>
            <w:tcW w:w="426" w:type="pct"/>
            <w:vMerge w:val="continue"/>
            <w:tcBorders>
              <w:top w:val="single" w:color="auto" w:sz="12" w:space="0"/>
              <w:left w:val="single" w:color="auto" w:sz="12" w:space="0"/>
              <w:bottom w:val="single" w:color="auto" w:sz="12" w:space="0"/>
              <w:right w:val="single" w:color="auto" w:sz="6" w:space="0"/>
            </w:tcBorders>
            <w:vAlign w:val="center"/>
          </w:tcPr>
          <w:p>
            <w:pPr>
              <w:widowControl/>
              <w:adjustRightInd/>
              <w:spacing w:line="240" w:lineRule="auto"/>
              <w:jc w:val="left"/>
              <w:rPr>
                <w:rFonts w:ascii="宋体" w:hAnsi="宋体"/>
              </w:rPr>
            </w:pPr>
          </w:p>
        </w:tc>
        <w:tc>
          <w:tcPr>
            <w:tcW w:w="758" w:type="pct"/>
            <w:tcBorders>
              <w:top w:val="single" w:color="auto" w:sz="6" w:space="0"/>
              <w:left w:val="nil"/>
              <w:bottom w:val="single" w:color="auto" w:sz="6" w:space="0"/>
              <w:right w:val="single" w:color="auto" w:sz="6" w:space="0"/>
            </w:tcBorders>
            <w:vAlign w:val="center"/>
          </w:tcPr>
          <w:p>
            <w:pPr>
              <w:keepNext/>
              <w:widowControl/>
              <w:jc w:val="center"/>
              <w:rPr>
                <w:rFonts w:ascii="宋体" w:hAnsi="宋体"/>
              </w:rPr>
            </w:pPr>
            <w:r>
              <w:rPr>
                <w:rFonts w:hint="eastAsia" w:ascii="宋体" w:hAnsi="宋体"/>
              </w:rPr>
              <w:t>具备脚踏骑行能力</w:t>
            </w:r>
          </w:p>
        </w:tc>
        <w:tc>
          <w:tcPr>
            <w:tcW w:w="3816" w:type="pct"/>
            <w:gridSpan w:val="3"/>
            <w:tcBorders>
              <w:top w:val="single" w:color="auto" w:sz="6" w:space="0"/>
              <w:left w:val="nil"/>
              <w:bottom w:val="single" w:color="auto" w:sz="6" w:space="0"/>
              <w:right w:val="single" w:color="auto" w:sz="12" w:space="0"/>
            </w:tcBorders>
            <w:vAlign w:val="center"/>
          </w:tcPr>
          <w:p>
            <w:pPr>
              <w:keepNext/>
              <w:widowControl/>
              <w:ind w:firstLine="1260" w:firstLineChars="600"/>
              <w:rPr>
                <w:rFonts w:ascii="宋体" w:hAnsi="宋体"/>
              </w:rPr>
            </w:pPr>
            <w:r>
              <w:rPr>
                <w:rFonts w:hint="eastAsia" w:ascii="宋体" w:hAnsi="宋体"/>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trPr>
        <w:tc>
          <w:tcPr>
            <w:tcW w:w="426" w:type="pct"/>
            <w:vMerge w:val="continue"/>
            <w:tcBorders>
              <w:top w:val="single" w:color="auto" w:sz="12" w:space="0"/>
              <w:left w:val="single" w:color="auto" w:sz="12" w:space="0"/>
              <w:bottom w:val="single" w:color="auto" w:sz="12" w:space="0"/>
              <w:right w:val="single" w:color="auto" w:sz="6" w:space="0"/>
            </w:tcBorders>
            <w:vAlign w:val="center"/>
          </w:tcPr>
          <w:p>
            <w:pPr>
              <w:widowControl/>
              <w:adjustRightInd/>
              <w:spacing w:line="240" w:lineRule="auto"/>
              <w:jc w:val="left"/>
              <w:rPr>
                <w:rFonts w:ascii="宋体" w:hAnsi="宋体"/>
              </w:rPr>
            </w:pPr>
          </w:p>
        </w:tc>
        <w:tc>
          <w:tcPr>
            <w:tcW w:w="758" w:type="pct"/>
            <w:tcBorders>
              <w:top w:val="single" w:color="auto" w:sz="6" w:space="0"/>
              <w:left w:val="nil"/>
              <w:bottom w:val="single" w:color="auto" w:sz="6" w:space="0"/>
              <w:right w:val="single" w:color="auto" w:sz="6" w:space="0"/>
            </w:tcBorders>
            <w:vAlign w:val="center"/>
          </w:tcPr>
          <w:p>
            <w:pPr>
              <w:keepNext/>
              <w:widowControl/>
              <w:jc w:val="center"/>
              <w:rPr>
                <w:rFonts w:ascii="宋体" w:hAnsi="宋体"/>
              </w:rPr>
            </w:pPr>
            <w:r>
              <w:rPr>
                <w:rFonts w:hint="eastAsia" w:ascii="宋体" w:hAnsi="宋体"/>
              </w:rPr>
              <w:t>贴有残疾人专用车标志</w:t>
            </w:r>
          </w:p>
        </w:tc>
        <w:tc>
          <w:tcPr>
            <w:tcW w:w="3816" w:type="pct"/>
            <w:gridSpan w:val="3"/>
            <w:tcBorders>
              <w:top w:val="single" w:color="auto" w:sz="6" w:space="0"/>
              <w:left w:val="nil"/>
              <w:bottom w:val="single" w:color="auto" w:sz="6" w:space="0"/>
              <w:right w:val="single" w:color="auto" w:sz="12" w:space="0"/>
            </w:tcBorders>
            <w:vAlign w:val="center"/>
          </w:tcPr>
          <w:p>
            <w:pPr>
              <w:keepNext/>
              <w:widowControl/>
              <w:ind w:firstLine="1260" w:firstLineChars="600"/>
              <w:rPr>
                <w:rFonts w:ascii="宋体" w:hAnsi="宋体"/>
              </w:rPr>
            </w:pPr>
            <w:r>
              <w:rPr>
                <w:rFonts w:hint="eastAsia" w:ascii="宋体" w:hAnsi="宋体"/>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426" w:type="pct"/>
            <w:vMerge w:val="continue"/>
            <w:tcBorders>
              <w:top w:val="single" w:color="auto" w:sz="12" w:space="0"/>
              <w:left w:val="single" w:color="auto" w:sz="12" w:space="0"/>
              <w:bottom w:val="single" w:color="auto" w:sz="12" w:space="0"/>
              <w:right w:val="single" w:color="auto" w:sz="6" w:space="0"/>
            </w:tcBorders>
            <w:vAlign w:val="center"/>
          </w:tcPr>
          <w:p>
            <w:pPr>
              <w:widowControl/>
              <w:adjustRightInd/>
              <w:spacing w:line="240" w:lineRule="auto"/>
              <w:jc w:val="left"/>
              <w:rPr>
                <w:rFonts w:ascii="宋体" w:hAnsi="宋体"/>
              </w:rPr>
            </w:pPr>
          </w:p>
        </w:tc>
        <w:tc>
          <w:tcPr>
            <w:tcW w:w="758" w:type="pct"/>
            <w:tcBorders>
              <w:top w:val="single" w:color="auto" w:sz="6" w:space="0"/>
              <w:left w:val="nil"/>
              <w:bottom w:val="single" w:color="auto" w:sz="12" w:space="0"/>
              <w:right w:val="single" w:color="auto" w:sz="6" w:space="0"/>
            </w:tcBorders>
            <w:vAlign w:val="center"/>
          </w:tcPr>
          <w:p>
            <w:pPr>
              <w:keepNext/>
              <w:widowControl/>
              <w:jc w:val="center"/>
              <w:rPr>
                <w:rFonts w:ascii="宋体" w:hAnsi="宋体"/>
              </w:rPr>
            </w:pPr>
            <w:r>
              <w:rPr>
                <w:rFonts w:hint="eastAsia" w:ascii="宋体" w:hAnsi="宋体"/>
              </w:rPr>
              <w:t>封闭情况</w:t>
            </w:r>
          </w:p>
        </w:tc>
        <w:tc>
          <w:tcPr>
            <w:tcW w:w="3816" w:type="pct"/>
            <w:gridSpan w:val="3"/>
            <w:tcBorders>
              <w:top w:val="single" w:color="auto" w:sz="6" w:space="0"/>
              <w:left w:val="nil"/>
              <w:bottom w:val="single" w:color="auto" w:sz="12" w:space="0"/>
              <w:right w:val="single" w:color="auto" w:sz="12" w:space="0"/>
            </w:tcBorders>
            <w:vAlign w:val="center"/>
          </w:tcPr>
          <w:p>
            <w:pPr>
              <w:keepNext/>
              <w:widowControl/>
              <w:jc w:val="center"/>
              <w:rPr>
                <w:rFonts w:ascii="宋体" w:hAnsi="宋体"/>
              </w:rPr>
            </w:pPr>
            <w:r>
              <w:rPr>
                <w:rFonts w:hint="eastAsia" w:ascii="宋体" w:hAnsi="宋体"/>
              </w:rPr>
              <w:t>□整车封闭  □驾驶室封闭  □后车厢封闭  □未封闭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426" w:type="pct"/>
            <w:vMerge w:val="restart"/>
            <w:tcBorders>
              <w:top w:val="nil"/>
              <w:left w:val="single" w:color="auto" w:sz="12" w:space="0"/>
              <w:bottom w:val="single" w:color="auto" w:sz="6" w:space="0"/>
              <w:right w:val="single" w:color="auto" w:sz="6" w:space="0"/>
            </w:tcBorders>
            <w:vAlign w:val="center"/>
          </w:tcPr>
          <w:p>
            <w:pPr>
              <w:keepNext/>
              <w:widowControl/>
              <w:jc w:val="center"/>
              <w:rPr>
                <w:rFonts w:ascii="宋体" w:hAnsi="宋体"/>
              </w:rPr>
            </w:pPr>
            <w:r>
              <w:rPr>
                <w:rFonts w:hint="eastAsia" w:ascii="宋体" w:hAnsi="宋体"/>
              </w:rPr>
              <w:t>电机</w:t>
            </w:r>
          </w:p>
        </w:tc>
        <w:tc>
          <w:tcPr>
            <w:tcW w:w="758" w:type="pct"/>
            <w:tcBorders>
              <w:top w:val="single" w:color="auto" w:sz="12" w:space="0"/>
              <w:left w:val="nil"/>
              <w:bottom w:val="single" w:color="auto" w:sz="6" w:space="0"/>
              <w:right w:val="single" w:color="auto" w:sz="6" w:space="0"/>
            </w:tcBorders>
            <w:vAlign w:val="center"/>
          </w:tcPr>
          <w:p>
            <w:pPr>
              <w:keepNext/>
              <w:jc w:val="center"/>
              <w:rPr>
                <w:rFonts w:ascii="宋体" w:hAnsi="宋体"/>
              </w:rPr>
            </w:pPr>
            <w:r>
              <w:rPr>
                <w:rFonts w:hint="eastAsia" w:ascii="宋体" w:hAnsi="宋体"/>
              </w:rPr>
              <w:t>型号</w:t>
            </w:r>
          </w:p>
        </w:tc>
        <w:tc>
          <w:tcPr>
            <w:tcW w:w="1355" w:type="pct"/>
            <w:tcBorders>
              <w:top w:val="single" w:color="auto" w:sz="12" w:space="0"/>
              <w:left w:val="nil"/>
              <w:bottom w:val="single" w:color="auto" w:sz="6" w:space="0"/>
              <w:right w:val="single" w:color="auto" w:sz="4" w:space="0"/>
            </w:tcBorders>
            <w:vAlign w:val="center"/>
          </w:tcPr>
          <w:p>
            <w:pPr>
              <w:keepNext/>
              <w:widowControl/>
              <w:jc w:val="center"/>
              <w:rPr>
                <w:rFonts w:ascii="宋体" w:hAnsi="宋体"/>
              </w:rPr>
            </w:pPr>
          </w:p>
        </w:tc>
        <w:tc>
          <w:tcPr>
            <w:tcW w:w="1017" w:type="pct"/>
            <w:tcBorders>
              <w:top w:val="single" w:color="auto" w:sz="12" w:space="0"/>
              <w:left w:val="single" w:color="auto" w:sz="4" w:space="0"/>
              <w:bottom w:val="single" w:color="auto" w:sz="6" w:space="0"/>
              <w:right w:val="single" w:color="auto" w:sz="4" w:space="0"/>
            </w:tcBorders>
            <w:vAlign w:val="center"/>
          </w:tcPr>
          <w:p>
            <w:pPr>
              <w:keepNext/>
              <w:jc w:val="center"/>
              <w:rPr>
                <w:rFonts w:ascii="宋体" w:hAnsi="宋体"/>
              </w:rPr>
            </w:pPr>
            <w:r>
              <w:rPr>
                <w:rFonts w:hint="eastAsia" w:ascii="宋体" w:hAnsi="宋体"/>
              </w:rPr>
              <w:t>电机编号</w:t>
            </w:r>
          </w:p>
        </w:tc>
        <w:tc>
          <w:tcPr>
            <w:tcW w:w="1444" w:type="pct"/>
            <w:tcBorders>
              <w:top w:val="single" w:color="auto" w:sz="12" w:space="0"/>
              <w:left w:val="single" w:color="auto" w:sz="4" w:space="0"/>
              <w:bottom w:val="single" w:color="auto" w:sz="6" w:space="0"/>
              <w:right w:val="single" w:color="auto" w:sz="12" w:space="0"/>
            </w:tcBorders>
            <w:vAlign w:val="center"/>
          </w:tcPr>
          <w:p>
            <w:pPr>
              <w:keepNext/>
              <w:widowControl/>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426" w:type="pct"/>
            <w:vMerge w:val="continue"/>
            <w:tcBorders>
              <w:top w:val="single" w:color="auto" w:sz="6" w:space="0"/>
              <w:left w:val="single" w:color="auto" w:sz="12" w:space="0"/>
              <w:bottom w:val="single" w:color="auto" w:sz="12" w:space="0"/>
              <w:right w:val="single" w:color="auto" w:sz="6" w:space="0"/>
            </w:tcBorders>
            <w:vAlign w:val="center"/>
          </w:tcPr>
          <w:p>
            <w:pPr>
              <w:widowControl/>
              <w:adjustRightInd/>
              <w:spacing w:line="240" w:lineRule="auto"/>
              <w:jc w:val="left"/>
              <w:rPr>
                <w:rFonts w:ascii="宋体" w:hAnsi="宋体"/>
              </w:rPr>
            </w:pPr>
          </w:p>
        </w:tc>
        <w:tc>
          <w:tcPr>
            <w:tcW w:w="758" w:type="pct"/>
            <w:tcBorders>
              <w:top w:val="single" w:color="auto" w:sz="6" w:space="0"/>
              <w:left w:val="nil"/>
              <w:bottom w:val="single" w:color="auto" w:sz="12" w:space="0"/>
              <w:right w:val="single" w:color="auto" w:sz="6" w:space="0"/>
            </w:tcBorders>
            <w:vAlign w:val="center"/>
          </w:tcPr>
          <w:p>
            <w:pPr>
              <w:keepNext/>
              <w:widowControl/>
              <w:jc w:val="center"/>
              <w:rPr>
                <w:rFonts w:ascii="宋体" w:hAnsi="宋体"/>
              </w:rPr>
            </w:pPr>
            <w:r>
              <w:rPr>
                <w:rFonts w:hint="eastAsia" w:ascii="宋体" w:hAnsi="宋体"/>
              </w:rPr>
              <w:t>功率（W）</w:t>
            </w:r>
          </w:p>
        </w:tc>
        <w:tc>
          <w:tcPr>
            <w:tcW w:w="1355" w:type="pct"/>
            <w:tcBorders>
              <w:top w:val="single" w:color="auto" w:sz="6" w:space="0"/>
              <w:left w:val="nil"/>
              <w:bottom w:val="single" w:color="auto" w:sz="12" w:space="0"/>
              <w:right w:val="single" w:color="auto" w:sz="6" w:space="0"/>
            </w:tcBorders>
            <w:vAlign w:val="center"/>
          </w:tcPr>
          <w:p>
            <w:pPr>
              <w:keepNext/>
              <w:widowControl/>
              <w:jc w:val="center"/>
              <w:rPr>
                <w:rFonts w:ascii="宋体" w:hAnsi="宋体"/>
              </w:rPr>
            </w:pPr>
          </w:p>
        </w:tc>
        <w:tc>
          <w:tcPr>
            <w:tcW w:w="1017" w:type="pct"/>
            <w:tcBorders>
              <w:top w:val="single" w:color="auto" w:sz="6" w:space="0"/>
              <w:left w:val="nil"/>
              <w:bottom w:val="single" w:color="auto" w:sz="12" w:space="0"/>
              <w:right w:val="single" w:color="auto" w:sz="6" w:space="0"/>
            </w:tcBorders>
            <w:vAlign w:val="center"/>
          </w:tcPr>
          <w:p>
            <w:pPr>
              <w:keepNext/>
              <w:widowControl/>
              <w:jc w:val="center"/>
              <w:rPr>
                <w:rFonts w:ascii="宋体" w:hAnsi="宋体"/>
              </w:rPr>
            </w:pPr>
            <w:r>
              <w:rPr>
                <w:rFonts w:hint="eastAsia" w:ascii="宋体" w:hAnsi="宋体"/>
              </w:rPr>
              <w:t>电压（V）</w:t>
            </w:r>
          </w:p>
        </w:tc>
        <w:tc>
          <w:tcPr>
            <w:tcW w:w="1444" w:type="pct"/>
            <w:tcBorders>
              <w:top w:val="single" w:color="auto" w:sz="6" w:space="0"/>
              <w:left w:val="nil"/>
              <w:bottom w:val="single" w:color="auto" w:sz="12" w:space="0"/>
              <w:right w:val="single" w:color="auto" w:sz="12" w:space="0"/>
            </w:tcBorders>
            <w:vAlign w:val="center"/>
          </w:tcPr>
          <w:p>
            <w:pPr>
              <w:keepNext/>
              <w:widowControl/>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426" w:type="pct"/>
            <w:vMerge w:val="restart"/>
            <w:tcBorders>
              <w:top w:val="single" w:color="auto" w:sz="12" w:space="0"/>
              <w:left w:val="single" w:color="auto" w:sz="12" w:space="0"/>
              <w:right w:val="single" w:color="auto" w:sz="6" w:space="0"/>
            </w:tcBorders>
            <w:vAlign w:val="center"/>
          </w:tcPr>
          <w:p>
            <w:pPr>
              <w:keepNext/>
              <w:widowControl/>
              <w:jc w:val="center"/>
              <w:rPr>
                <w:rFonts w:ascii="宋体" w:hAnsi="宋体"/>
              </w:rPr>
            </w:pPr>
            <w:r>
              <w:rPr>
                <w:rFonts w:hint="eastAsia" w:ascii="宋体" w:hAnsi="宋体"/>
              </w:rPr>
              <w:t>发动机</w:t>
            </w:r>
          </w:p>
        </w:tc>
        <w:tc>
          <w:tcPr>
            <w:tcW w:w="758" w:type="pct"/>
            <w:tcBorders>
              <w:top w:val="single" w:color="auto" w:sz="12" w:space="0"/>
              <w:left w:val="nil"/>
              <w:bottom w:val="single" w:color="auto" w:sz="6" w:space="0"/>
              <w:right w:val="single" w:color="auto" w:sz="6" w:space="0"/>
            </w:tcBorders>
            <w:vAlign w:val="center"/>
          </w:tcPr>
          <w:p>
            <w:pPr>
              <w:keepNext/>
              <w:widowControl/>
              <w:jc w:val="center"/>
              <w:rPr>
                <w:rFonts w:ascii="宋体" w:hAnsi="宋体"/>
              </w:rPr>
            </w:pPr>
            <w:r>
              <w:rPr>
                <w:rFonts w:hint="eastAsia" w:ascii="宋体" w:hAnsi="宋体"/>
              </w:rPr>
              <w:t>型号</w:t>
            </w:r>
          </w:p>
        </w:tc>
        <w:tc>
          <w:tcPr>
            <w:tcW w:w="1355" w:type="pct"/>
            <w:tcBorders>
              <w:top w:val="single" w:color="auto" w:sz="12" w:space="0"/>
              <w:left w:val="nil"/>
              <w:bottom w:val="single" w:color="auto" w:sz="6" w:space="0"/>
              <w:right w:val="single" w:color="auto" w:sz="6" w:space="0"/>
            </w:tcBorders>
            <w:vAlign w:val="center"/>
          </w:tcPr>
          <w:p>
            <w:pPr>
              <w:keepNext/>
              <w:widowControl/>
              <w:jc w:val="center"/>
              <w:rPr>
                <w:rFonts w:ascii="宋体" w:hAnsi="宋体"/>
              </w:rPr>
            </w:pPr>
          </w:p>
        </w:tc>
        <w:tc>
          <w:tcPr>
            <w:tcW w:w="1017" w:type="pct"/>
            <w:tcBorders>
              <w:top w:val="single" w:color="auto" w:sz="12" w:space="0"/>
              <w:left w:val="nil"/>
              <w:bottom w:val="single" w:color="auto" w:sz="6" w:space="0"/>
              <w:right w:val="single" w:color="auto" w:sz="6" w:space="0"/>
            </w:tcBorders>
            <w:vAlign w:val="center"/>
          </w:tcPr>
          <w:p>
            <w:pPr>
              <w:keepNext/>
              <w:widowControl/>
              <w:jc w:val="center"/>
              <w:rPr>
                <w:rFonts w:ascii="宋体" w:hAnsi="宋体"/>
              </w:rPr>
            </w:pPr>
            <w:r>
              <w:rPr>
                <w:rFonts w:hint="eastAsia" w:ascii="宋体" w:hAnsi="宋体"/>
              </w:rPr>
              <w:t>发动机编号</w:t>
            </w:r>
          </w:p>
        </w:tc>
        <w:tc>
          <w:tcPr>
            <w:tcW w:w="1444" w:type="pct"/>
            <w:tcBorders>
              <w:top w:val="single" w:color="auto" w:sz="12" w:space="0"/>
              <w:left w:val="nil"/>
              <w:bottom w:val="single" w:color="auto" w:sz="6" w:space="0"/>
              <w:right w:val="single" w:color="auto" w:sz="12" w:space="0"/>
            </w:tcBorders>
            <w:vAlign w:val="center"/>
          </w:tcPr>
          <w:p>
            <w:pPr>
              <w:keepNext/>
              <w:widowControl/>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426" w:type="pct"/>
            <w:vMerge w:val="continue"/>
            <w:tcBorders>
              <w:left w:val="single" w:color="auto" w:sz="12" w:space="0"/>
              <w:bottom w:val="single" w:color="auto" w:sz="6" w:space="0"/>
              <w:right w:val="single" w:color="auto" w:sz="6" w:space="0"/>
            </w:tcBorders>
            <w:vAlign w:val="center"/>
          </w:tcPr>
          <w:p>
            <w:pPr>
              <w:widowControl/>
              <w:adjustRightInd/>
              <w:spacing w:line="240" w:lineRule="auto"/>
              <w:jc w:val="left"/>
              <w:rPr>
                <w:rFonts w:ascii="宋体" w:hAnsi="宋体"/>
              </w:rPr>
            </w:pPr>
          </w:p>
        </w:tc>
        <w:tc>
          <w:tcPr>
            <w:tcW w:w="758" w:type="pct"/>
            <w:tcBorders>
              <w:top w:val="single" w:color="auto" w:sz="6" w:space="0"/>
              <w:left w:val="nil"/>
              <w:bottom w:val="single" w:color="auto" w:sz="6" w:space="0"/>
              <w:right w:val="single" w:color="auto" w:sz="6" w:space="0"/>
            </w:tcBorders>
            <w:vAlign w:val="center"/>
          </w:tcPr>
          <w:p>
            <w:pPr>
              <w:keepNext/>
              <w:widowControl/>
              <w:jc w:val="center"/>
              <w:rPr>
                <w:rFonts w:ascii="宋体" w:hAnsi="宋体"/>
              </w:rPr>
            </w:pPr>
            <w:r>
              <w:rPr>
                <w:rFonts w:hint="eastAsia" w:ascii="宋体" w:hAnsi="宋体"/>
              </w:rPr>
              <w:t>气缸缸径（mm）</w:t>
            </w:r>
          </w:p>
        </w:tc>
        <w:tc>
          <w:tcPr>
            <w:tcW w:w="1355" w:type="pct"/>
            <w:tcBorders>
              <w:top w:val="single" w:color="auto" w:sz="6" w:space="0"/>
              <w:left w:val="nil"/>
              <w:bottom w:val="single" w:color="auto" w:sz="6" w:space="0"/>
              <w:right w:val="single" w:color="auto" w:sz="6" w:space="0"/>
            </w:tcBorders>
            <w:vAlign w:val="center"/>
          </w:tcPr>
          <w:p>
            <w:pPr>
              <w:keepNext/>
              <w:widowControl/>
              <w:jc w:val="center"/>
              <w:rPr>
                <w:rFonts w:ascii="宋体" w:hAnsi="宋体"/>
              </w:rPr>
            </w:pPr>
          </w:p>
        </w:tc>
        <w:tc>
          <w:tcPr>
            <w:tcW w:w="1017" w:type="pct"/>
            <w:tcBorders>
              <w:top w:val="single" w:color="auto" w:sz="6" w:space="0"/>
              <w:left w:val="nil"/>
              <w:bottom w:val="single" w:color="auto" w:sz="6" w:space="0"/>
              <w:right w:val="single" w:color="auto" w:sz="6" w:space="0"/>
            </w:tcBorders>
            <w:vAlign w:val="center"/>
          </w:tcPr>
          <w:p>
            <w:pPr>
              <w:keepNext/>
              <w:widowControl/>
              <w:jc w:val="center"/>
              <w:rPr>
                <w:rFonts w:ascii="宋体" w:hAnsi="宋体"/>
              </w:rPr>
            </w:pPr>
            <w:r>
              <w:rPr>
                <w:rFonts w:hint="eastAsia" w:ascii="宋体" w:hAnsi="宋体"/>
              </w:rPr>
              <w:t>最大工作行程</w:t>
            </w:r>
          </w:p>
          <w:p>
            <w:pPr>
              <w:keepNext/>
              <w:widowControl/>
              <w:jc w:val="center"/>
              <w:rPr>
                <w:rFonts w:ascii="宋体" w:hAnsi="宋体"/>
              </w:rPr>
            </w:pPr>
            <w:r>
              <w:rPr>
                <w:rFonts w:hint="eastAsia" w:ascii="宋体" w:hAnsi="宋体"/>
              </w:rPr>
              <w:t>（mm）</w:t>
            </w:r>
          </w:p>
        </w:tc>
        <w:tc>
          <w:tcPr>
            <w:tcW w:w="1444" w:type="pct"/>
            <w:tcBorders>
              <w:top w:val="single" w:color="auto" w:sz="6" w:space="0"/>
              <w:left w:val="nil"/>
              <w:bottom w:val="single" w:color="auto" w:sz="6" w:space="0"/>
              <w:right w:val="single" w:color="auto" w:sz="12" w:space="0"/>
            </w:tcBorders>
            <w:vAlign w:val="center"/>
          </w:tcPr>
          <w:p>
            <w:pPr>
              <w:keepNext/>
              <w:widowControl/>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9" w:hRule="atLeast"/>
        </w:trPr>
        <w:tc>
          <w:tcPr>
            <w:tcW w:w="426" w:type="pct"/>
            <w:tcBorders>
              <w:top w:val="single" w:color="auto" w:sz="12" w:space="0"/>
              <w:left w:val="single" w:color="auto" w:sz="12" w:space="0"/>
              <w:bottom w:val="single" w:color="auto" w:sz="12" w:space="0"/>
              <w:right w:val="single" w:color="auto" w:sz="6" w:space="0"/>
            </w:tcBorders>
            <w:vAlign w:val="center"/>
          </w:tcPr>
          <w:p>
            <w:pPr>
              <w:keepNext/>
              <w:widowControl/>
              <w:jc w:val="center"/>
              <w:rPr>
                <w:rFonts w:ascii="宋体" w:hAnsi="宋体"/>
              </w:rPr>
            </w:pPr>
            <w:r>
              <w:rPr>
                <w:rFonts w:hint="eastAsia" w:ascii="宋体" w:hAnsi="宋体"/>
              </w:rPr>
              <w:t>其他</w:t>
            </w:r>
          </w:p>
        </w:tc>
        <w:tc>
          <w:tcPr>
            <w:tcW w:w="4574" w:type="pct"/>
            <w:gridSpan w:val="4"/>
            <w:tcBorders>
              <w:top w:val="single" w:color="auto" w:sz="12" w:space="0"/>
              <w:left w:val="nil"/>
              <w:bottom w:val="single" w:color="auto" w:sz="12" w:space="0"/>
              <w:right w:val="single" w:color="auto" w:sz="12" w:space="0"/>
            </w:tcBorders>
            <w:vAlign w:val="center"/>
          </w:tcPr>
          <w:p>
            <w:pPr>
              <w:keepNext/>
              <w:widowControl/>
              <w:jc w:val="left"/>
              <w:rPr>
                <w:rFonts w:ascii="宋体" w:hAnsi="宋体"/>
              </w:rPr>
            </w:pPr>
          </w:p>
        </w:tc>
      </w:tr>
    </w:tbl>
    <w:p>
      <w:pPr>
        <w:pStyle w:val="57"/>
        <w:ind w:firstLine="420"/>
      </w:pPr>
    </w:p>
    <w:p>
      <w:pPr>
        <w:pStyle w:val="199"/>
        <w:rPr>
          <w:vanish w:val="0"/>
        </w:rPr>
      </w:pPr>
    </w:p>
    <w:bookmarkEnd w:id="69"/>
    <w:p>
      <w:pPr>
        <w:pStyle w:val="64"/>
        <w:spacing w:before="124" w:after="156"/>
      </w:pPr>
      <w:bookmarkStart w:id="71" w:name="_Toc91007651"/>
      <w:bookmarkStart w:id="72" w:name="_Toc157154802"/>
      <w:bookmarkStart w:id="73" w:name="_Toc91007595"/>
      <w:bookmarkStart w:id="74" w:name="_Toc91007635"/>
      <w:bookmarkStart w:id="75" w:name="BookMark6"/>
      <w:r>
        <w:rPr>
          <w:rFonts w:hint="eastAsia"/>
          <w:spacing w:val="105"/>
        </w:rPr>
        <w:t>参考文</w:t>
      </w:r>
      <w:r>
        <w:rPr>
          <w:rFonts w:hint="eastAsia"/>
        </w:rPr>
        <w:t>献</w:t>
      </w:r>
      <w:bookmarkEnd w:id="71"/>
      <w:bookmarkEnd w:id="72"/>
      <w:bookmarkEnd w:id="73"/>
      <w:bookmarkEnd w:id="74"/>
    </w:p>
    <w:p>
      <w:pPr>
        <w:pStyle w:val="57"/>
        <w:ind w:firstLine="420"/>
      </w:pPr>
      <w:r>
        <w:t xml:space="preserve">[1]  </w:t>
      </w:r>
      <w:r>
        <w:rPr>
          <w:rFonts w:hint="eastAsia"/>
        </w:rPr>
        <w:t>《中华人民共和国道路安全法》（2</w:t>
      </w:r>
      <w:r>
        <w:t>021</w:t>
      </w:r>
      <w:r>
        <w:rPr>
          <w:rFonts w:hint="eastAsia"/>
        </w:rPr>
        <w:t>年修订）</w:t>
      </w:r>
    </w:p>
    <w:p>
      <w:pPr>
        <w:pStyle w:val="57"/>
        <w:ind w:firstLine="420"/>
      </w:pPr>
    </w:p>
    <w:p>
      <w:pPr>
        <w:pStyle w:val="57"/>
        <w:ind w:firstLine="420"/>
      </w:pPr>
    </w:p>
    <w:p>
      <w:pPr>
        <w:pStyle w:val="57"/>
        <w:ind w:firstLine="0" w:firstLineChars="0"/>
      </w:pPr>
    </w:p>
    <w:p>
      <w:pPr>
        <w:pStyle w:val="57"/>
        <w:ind w:firstLine="0" w:firstLineChars="0"/>
      </w:pPr>
    </w:p>
    <w:p>
      <w:pPr>
        <w:pStyle w:val="57"/>
        <w:ind w:firstLine="0" w:firstLineChars="0"/>
      </w:pPr>
    </w:p>
    <w:p>
      <w:pPr>
        <w:pStyle w:val="57"/>
        <w:ind w:firstLine="0" w:firstLineChars="0"/>
      </w:pPr>
    </w:p>
    <w:p>
      <w:pPr>
        <w:pStyle w:val="57"/>
        <w:ind w:firstLine="0" w:firstLineChars="0"/>
      </w:pPr>
    </w:p>
    <w:bookmarkEnd w:id="75"/>
    <w:p>
      <w:pPr>
        <w:pStyle w:val="57"/>
        <w:ind w:firstLine="0" w:firstLineChars="0"/>
        <w:jc w:val="center"/>
      </w:pPr>
      <w:bookmarkStart w:id="76" w:name="BookMark8"/>
      <w:r>
        <w:rPr>
          <w:rFonts w:hint="eastAsia"/>
        </w:rPr>
        <w:drawing>
          <wp:inline distT="0" distB="0" distL="0" distR="0">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2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6"/>
    </w:p>
    <w:sectPr>
      <w:headerReference r:id="rId21" w:type="default"/>
      <w:footerReference r:id="rId23" w:type="default"/>
      <w:headerReference r:id="rId22" w:type="even"/>
      <w:footerReference r:id="rId24" w:type="even"/>
      <w:pgSz w:w="11906" w:h="16838"/>
      <w:pgMar w:top="2410" w:right="1134" w:bottom="1134" w:left="1134" w:header="1418" w:footer="1134" w:gutter="284"/>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4</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 PAGE   \* MERGEFORMAT \* MERGEFORMAT </w:instrText>
    </w:r>
    <w:r>
      <w:fldChar w:fldCharType="separate"/>
    </w:r>
    <w: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4</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4</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 PAGE   \* MERGEFORMAT \* MERGEFORMAT </w:instrText>
    </w:r>
    <w:r>
      <w:fldChar w:fldCharType="separate"/>
    </w:r>
    <w:r>
      <w:t>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4</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 PAGE   \* MERGEFORMAT \* MERGEFORMAT </w:instrText>
    </w:r>
    <w:r>
      <w:fldChar w:fldCharType="separate"/>
    </w:r>
    <w:r>
      <w:t>2</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XX/T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 XX/T 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 XX/T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XX/T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 XX/T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XX/T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142"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992" w:firstLine="0"/>
      </w:pPr>
      <w:rPr>
        <w:rFonts w:hint="eastAsia" w:ascii="黑体" w:eastAsia="黑体"/>
        <w:b w:val="0"/>
        <w:i w:val="0"/>
        <w:sz w:val="21"/>
      </w:rPr>
    </w:lvl>
    <w:lvl w:ilvl="4" w:tentative="0">
      <w:start w:val="1"/>
      <w:numFmt w:val="decimal"/>
      <w:pStyle w:val="95"/>
      <w:suff w:val="nothing"/>
      <w:lvlText w:val="%1%2.%3.%4.%5　"/>
      <w:lvlJc w:val="left"/>
      <w:pPr>
        <w:ind w:left="568"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imum3glMRpek0FO2W78f6oFPP5z4sRmbbYsJh43OTrs0KDwyGjJQGQbPsTUb35urQWxNWYLKvCesMWbn++H2sA==" w:salt="ZCVF4iYggWO7sppmdi1WFg=="/>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AwM2UxZWE3MmZhZjQxNTRmZDUyMzAxMTRiNjljZDMifQ=="/>
  </w:docVars>
  <w:rsids>
    <w:rsidRoot w:val="00EF4F92"/>
    <w:rsid w:val="0000040A"/>
    <w:rsid w:val="00000A94"/>
    <w:rsid w:val="00001972"/>
    <w:rsid w:val="00001D9A"/>
    <w:rsid w:val="00003EEF"/>
    <w:rsid w:val="00007B3A"/>
    <w:rsid w:val="000107E0"/>
    <w:rsid w:val="00011FDE"/>
    <w:rsid w:val="00012FFD"/>
    <w:rsid w:val="00014162"/>
    <w:rsid w:val="00014340"/>
    <w:rsid w:val="00016A9C"/>
    <w:rsid w:val="00022184"/>
    <w:rsid w:val="00022762"/>
    <w:rsid w:val="000238E0"/>
    <w:rsid w:val="000249DB"/>
    <w:rsid w:val="0002595E"/>
    <w:rsid w:val="00026AFB"/>
    <w:rsid w:val="000303C3"/>
    <w:rsid w:val="0003233E"/>
    <w:rsid w:val="000331D3"/>
    <w:rsid w:val="000346A5"/>
    <w:rsid w:val="000359C3"/>
    <w:rsid w:val="00035A7D"/>
    <w:rsid w:val="000365ED"/>
    <w:rsid w:val="00041073"/>
    <w:rsid w:val="0004249A"/>
    <w:rsid w:val="00043282"/>
    <w:rsid w:val="00044286"/>
    <w:rsid w:val="00047814"/>
    <w:rsid w:val="00047BC2"/>
    <w:rsid w:val="00047F28"/>
    <w:rsid w:val="000503AA"/>
    <w:rsid w:val="000506A1"/>
    <w:rsid w:val="00050A53"/>
    <w:rsid w:val="000515DD"/>
    <w:rsid w:val="00051FC7"/>
    <w:rsid w:val="0005265A"/>
    <w:rsid w:val="000539DD"/>
    <w:rsid w:val="00053BD3"/>
    <w:rsid w:val="000556ED"/>
    <w:rsid w:val="00055FE2"/>
    <w:rsid w:val="0005616F"/>
    <w:rsid w:val="000576DB"/>
    <w:rsid w:val="00060C2E"/>
    <w:rsid w:val="00061033"/>
    <w:rsid w:val="000619E9"/>
    <w:rsid w:val="000622D4"/>
    <w:rsid w:val="0006357D"/>
    <w:rsid w:val="00067F1E"/>
    <w:rsid w:val="00071CC0"/>
    <w:rsid w:val="00073C8C"/>
    <w:rsid w:val="00074546"/>
    <w:rsid w:val="0007496C"/>
    <w:rsid w:val="00077B64"/>
    <w:rsid w:val="00080A1C"/>
    <w:rsid w:val="00080CDD"/>
    <w:rsid w:val="00082317"/>
    <w:rsid w:val="00083D2C"/>
    <w:rsid w:val="00083F29"/>
    <w:rsid w:val="00085A73"/>
    <w:rsid w:val="00086AA1"/>
    <w:rsid w:val="00087A77"/>
    <w:rsid w:val="00090CA6"/>
    <w:rsid w:val="00091E94"/>
    <w:rsid w:val="00092B8A"/>
    <w:rsid w:val="00092FB0"/>
    <w:rsid w:val="000934C5"/>
    <w:rsid w:val="00093D25"/>
    <w:rsid w:val="00093DAB"/>
    <w:rsid w:val="00094D73"/>
    <w:rsid w:val="00096D63"/>
    <w:rsid w:val="000A0B60"/>
    <w:rsid w:val="000A0EB8"/>
    <w:rsid w:val="000A19FC"/>
    <w:rsid w:val="000A296B"/>
    <w:rsid w:val="000A72EF"/>
    <w:rsid w:val="000A7311"/>
    <w:rsid w:val="000B060F"/>
    <w:rsid w:val="000B1592"/>
    <w:rsid w:val="000B1FF2"/>
    <w:rsid w:val="000B3CDA"/>
    <w:rsid w:val="000B4F09"/>
    <w:rsid w:val="000B5226"/>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279B"/>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9C0"/>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A7D57"/>
    <w:rsid w:val="001B06E8"/>
    <w:rsid w:val="001B364A"/>
    <w:rsid w:val="001B71D0"/>
    <w:rsid w:val="001B71EE"/>
    <w:rsid w:val="001C04A8"/>
    <w:rsid w:val="001C2C03"/>
    <w:rsid w:val="001C42F7"/>
    <w:rsid w:val="001C49E5"/>
    <w:rsid w:val="001C666A"/>
    <w:rsid w:val="001C680C"/>
    <w:rsid w:val="001C7FEA"/>
    <w:rsid w:val="001D0499"/>
    <w:rsid w:val="001D0BBE"/>
    <w:rsid w:val="001D0ED4"/>
    <w:rsid w:val="001D1410"/>
    <w:rsid w:val="001D212F"/>
    <w:rsid w:val="001D2626"/>
    <w:rsid w:val="001D29D7"/>
    <w:rsid w:val="001D2DE7"/>
    <w:rsid w:val="001D411C"/>
    <w:rsid w:val="001E1B6A"/>
    <w:rsid w:val="001E2484"/>
    <w:rsid w:val="001E29D3"/>
    <w:rsid w:val="001E3CC4"/>
    <w:rsid w:val="001E4882"/>
    <w:rsid w:val="001E73AB"/>
    <w:rsid w:val="001F092D"/>
    <w:rsid w:val="001F143A"/>
    <w:rsid w:val="001F1605"/>
    <w:rsid w:val="001F2508"/>
    <w:rsid w:val="001F299D"/>
    <w:rsid w:val="001F4816"/>
    <w:rsid w:val="001F4EE9"/>
    <w:rsid w:val="001F69B4"/>
    <w:rsid w:val="001F77C7"/>
    <w:rsid w:val="00200183"/>
    <w:rsid w:val="00200333"/>
    <w:rsid w:val="0020107D"/>
    <w:rsid w:val="00202AA4"/>
    <w:rsid w:val="002031F7"/>
    <w:rsid w:val="00203522"/>
    <w:rsid w:val="002040E6"/>
    <w:rsid w:val="0020527B"/>
    <w:rsid w:val="00205F2C"/>
    <w:rsid w:val="00210B15"/>
    <w:rsid w:val="002142EA"/>
    <w:rsid w:val="002204BB"/>
    <w:rsid w:val="00221B79"/>
    <w:rsid w:val="00221C6B"/>
    <w:rsid w:val="002253A1"/>
    <w:rsid w:val="00225CF8"/>
    <w:rsid w:val="0022794E"/>
    <w:rsid w:val="00232ADD"/>
    <w:rsid w:val="00233D64"/>
    <w:rsid w:val="0023482A"/>
    <w:rsid w:val="00234D07"/>
    <w:rsid w:val="002359CB"/>
    <w:rsid w:val="00235B16"/>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12EC"/>
    <w:rsid w:val="002726E6"/>
    <w:rsid w:val="00272B08"/>
    <w:rsid w:val="002750CF"/>
    <w:rsid w:val="00281BB8"/>
    <w:rsid w:val="00281E9E"/>
    <w:rsid w:val="00282405"/>
    <w:rsid w:val="00283A66"/>
    <w:rsid w:val="00285170"/>
    <w:rsid w:val="00285361"/>
    <w:rsid w:val="002926A1"/>
    <w:rsid w:val="00292D60"/>
    <w:rsid w:val="00293B30"/>
    <w:rsid w:val="00293D26"/>
    <w:rsid w:val="0029498C"/>
    <w:rsid w:val="00294D34"/>
    <w:rsid w:val="00294E3B"/>
    <w:rsid w:val="00295512"/>
    <w:rsid w:val="00296193"/>
    <w:rsid w:val="00296C66"/>
    <w:rsid w:val="00296EBE"/>
    <w:rsid w:val="002974E3"/>
    <w:rsid w:val="002A084B"/>
    <w:rsid w:val="002A1260"/>
    <w:rsid w:val="002A1589"/>
    <w:rsid w:val="002A1608"/>
    <w:rsid w:val="002A208D"/>
    <w:rsid w:val="002A25DC"/>
    <w:rsid w:val="002A3AAB"/>
    <w:rsid w:val="002A4CEA"/>
    <w:rsid w:val="002A5977"/>
    <w:rsid w:val="002A5A13"/>
    <w:rsid w:val="002A757F"/>
    <w:rsid w:val="002A7F44"/>
    <w:rsid w:val="002B0C40"/>
    <w:rsid w:val="002B1966"/>
    <w:rsid w:val="002B2470"/>
    <w:rsid w:val="002B427B"/>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16D"/>
    <w:rsid w:val="002E4D5A"/>
    <w:rsid w:val="002E6326"/>
    <w:rsid w:val="002F30E0"/>
    <w:rsid w:val="002F35E4"/>
    <w:rsid w:val="002F3730"/>
    <w:rsid w:val="002F38E1"/>
    <w:rsid w:val="002F68F8"/>
    <w:rsid w:val="002F7176"/>
    <w:rsid w:val="002F7AF6"/>
    <w:rsid w:val="00300E63"/>
    <w:rsid w:val="00302F5F"/>
    <w:rsid w:val="0030441D"/>
    <w:rsid w:val="003046E0"/>
    <w:rsid w:val="00306063"/>
    <w:rsid w:val="00306CC3"/>
    <w:rsid w:val="003127C1"/>
    <w:rsid w:val="00313B85"/>
    <w:rsid w:val="00317988"/>
    <w:rsid w:val="003221B4"/>
    <w:rsid w:val="0032258D"/>
    <w:rsid w:val="00322E62"/>
    <w:rsid w:val="00324D13"/>
    <w:rsid w:val="00324D2A"/>
    <w:rsid w:val="00324EDD"/>
    <w:rsid w:val="00327310"/>
    <w:rsid w:val="003331E4"/>
    <w:rsid w:val="0033553A"/>
    <w:rsid w:val="00336C64"/>
    <w:rsid w:val="00336FD0"/>
    <w:rsid w:val="00337162"/>
    <w:rsid w:val="0034194F"/>
    <w:rsid w:val="00344605"/>
    <w:rsid w:val="003474AA"/>
    <w:rsid w:val="00350D1D"/>
    <w:rsid w:val="00352C83"/>
    <w:rsid w:val="00354273"/>
    <w:rsid w:val="003615D2"/>
    <w:rsid w:val="003625E1"/>
    <w:rsid w:val="0036429C"/>
    <w:rsid w:val="00364A53"/>
    <w:rsid w:val="003654CB"/>
    <w:rsid w:val="003659AA"/>
    <w:rsid w:val="00365AA9"/>
    <w:rsid w:val="00365F86"/>
    <w:rsid w:val="00365F87"/>
    <w:rsid w:val="00366E89"/>
    <w:rsid w:val="003705F4"/>
    <w:rsid w:val="00370D58"/>
    <w:rsid w:val="00371316"/>
    <w:rsid w:val="00374F67"/>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6A57"/>
    <w:rsid w:val="00396A8F"/>
    <w:rsid w:val="003974EB"/>
    <w:rsid w:val="00397CC5"/>
    <w:rsid w:val="003A1582"/>
    <w:rsid w:val="003A1E24"/>
    <w:rsid w:val="003A2033"/>
    <w:rsid w:val="003A4077"/>
    <w:rsid w:val="003B09AD"/>
    <w:rsid w:val="003B1F18"/>
    <w:rsid w:val="003B2952"/>
    <w:rsid w:val="003B37AA"/>
    <w:rsid w:val="003B5BF0"/>
    <w:rsid w:val="003B60BF"/>
    <w:rsid w:val="003B6BE3"/>
    <w:rsid w:val="003C010C"/>
    <w:rsid w:val="003C0A6C"/>
    <w:rsid w:val="003C14F8"/>
    <w:rsid w:val="003C2D05"/>
    <w:rsid w:val="003C3065"/>
    <w:rsid w:val="003C306A"/>
    <w:rsid w:val="003C5A43"/>
    <w:rsid w:val="003C635C"/>
    <w:rsid w:val="003C770E"/>
    <w:rsid w:val="003D0519"/>
    <w:rsid w:val="003D0FF6"/>
    <w:rsid w:val="003D262C"/>
    <w:rsid w:val="003D6D61"/>
    <w:rsid w:val="003E061D"/>
    <w:rsid w:val="003E091D"/>
    <w:rsid w:val="003E15A4"/>
    <w:rsid w:val="003E1C53"/>
    <w:rsid w:val="003E2A69"/>
    <w:rsid w:val="003E2D49"/>
    <w:rsid w:val="003E2FD4"/>
    <w:rsid w:val="003E49F6"/>
    <w:rsid w:val="003E6272"/>
    <w:rsid w:val="003E660F"/>
    <w:rsid w:val="003E6847"/>
    <w:rsid w:val="003F0841"/>
    <w:rsid w:val="003F14BF"/>
    <w:rsid w:val="003F23D3"/>
    <w:rsid w:val="003F3F08"/>
    <w:rsid w:val="003F49F1"/>
    <w:rsid w:val="003F6272"/>
    <w:rsid w:val="003F7800"/>
    <w:rsid w:val="00400E72"/>
    <w:rsid w:val="00401400"/>
    <w:rsid w:val="004026C5"/>
    <w:rsid w:val="00404869"/>
    <w:rsid w:val="00405884"/>
    <w:rsid w:val="00407705"/>
    <w:rsid w:val="00407D39"/>
    <w:rsid w:val="0041477A"/>
    <w:rsid w:val="004167A3"/>
    <w:rsid w:val="0042317D"/>
    <w:rsid w:val="00432DAA"/>
    <w:rsid w:val="00434305"/>
    <w:rsid w:val="00435DF7"/>
    <w:rsid w:val="0044083F"/>
    <w:rsid w:val="00441AE7"/>
    <w:rsid w:val="00445574"/>
    <w:rsid w:val="004467FB"/>
    <w:rsid w:val="00451206"/>
    <w:rsid w:val="00452D6B"/>
    <w:rsid w:val="00452DD5"/>
    <w:rsid w:val="00453314"/>
    <w:rsid w:val="00454484"/>
    <w:rsid w:val="0045517B"/>
    <w:rsid w:val="00455C92"/>
    <w:rsid w:val="004565DE"/>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1FD6"/>
    <w:rsid w:val="004A463D"/>
    <w:rsid w:val="004A4B57"/>
    <w:rsid w:val="004A63FA"/>
    <w:rsid w:val="004A664F"/>
    <w:rsid w:val="004B0272"/>
    <w:rsid w:val="004B2701"/>
    <w:rsid w:val="004B2E1B"/>
    <w:rsid w:val="004B3AA8"/>
    <w:rsid w:val="004B3E93"/>
    <w:rsid w:val="004C1FBC"/>
    <w:rsid w:val="004C2B37"/>
    <w:rsid w:val="004C3F1D"/>
    <w:rsid w:val="004C458D"/>
    <w:rsid w:val="004C7556"/>
    <w:rsid w:val="004C7E8B"/>
    <w:rsid w:val="004C7E9D"/>
    <w:rsid w:val="004C7F67"/>
    <w:rsid w:val="004D076D"/>
    <w:rsid w:val="004D0EF1"/>
    <w:rsid w:val="004D133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3EB9"/>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487B"/>
    <w:rsid w:val="005479DA"/>
    <w:rsid w:val="00547BCC"/>
    <w:rsid w:val="0055013B"/>
    <w:rsid w:val="00550571"/>
    <w:rsid w:val="00551F6F"/>
    <w:rsid w:val="005529B7"/>
    <w:rsid w:val="00553ABD"/>
    <w:rsid w:val="00555044"/>
    <w:rsid w:val="0055527B"/>
    <w:rsid w:val="00561475"/>
    <w:rsid w:val="00561C56"/>
    <w:rsid w:val="0056487B"/>
    <w:rsid w:val="00564FB9"/>
    <w:rsid w:val="00573D9E"/>
    <w:rsid w:val="005801E3"/>
    <w:rsid w:val="00581802"/>
    <w:rsid w:val="005836A8"/>
    <w:rsid w:val="00583FC1"/>
    <w:rsid w:val="0058409C"/>
    <w:rsid w:val="00584262"/>
    <w:rsid w:val="005852DA"/>
    <w:rsid w:val="00586630"/>
    <w:rsid w:val="005867F8"/>
    <w:rsid w:val="00587ADD"/>
    <w:rsid w:val="00591E27"/>
    <w:rsid w:val="00596160"/>
    <w:rsid w:val="0059629D"/>
    <w:rsid w:val="005966E2"/>
    <w:rsid w:val="00597007"/>
    <w:rsid w:val="005A0966"/>
    <w:rsid w:val="005A11B7"/>
    <w:rsid w:val="005A260B"/>
    <w:rsid w:val="005A4A1B"/>
    <w:rsid w:val="005A51FB"/>
    <w:rsid w:val="005A7830"/>
    <w:rsid w:val="005A7FCE"/>
    <w:rsid w:val="005B0F3F"/>
    <w:rsid w:val="005B4903"/>
    <w:rsid w:val="005B51CE"/>
    <w:rsid w:val="005B5885"/>
    <w:rsid w:val="005B5CD7"/>
    <w:rsid w:val="005B6CF6"/>
    <w:rsid w:val="005B7422"/>
    <w:rsid w:val="005C2295"/>
    <w:rsid w:val="005C29B8"/>
    <w:rsid w:val="005C576F"/>
    <w:rsid w:val="005C5F21"/>
    <w:rsid w:val="005C7156"/>
    <w:rsid w:val="005D0C75"/>
    <w:rsid w:val="005D4171"/>
    <w:rsid w:val="005D48AB"/>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3494"/>
    <w:rsid w:val="00614CC1"/>
    <w:rsid w:val="00615A9D"/>
    <w:rsid w:val="00617387"/>
    <w:rsid w:val="006205D6"/>
    <w:rsid w:val="006252D8"/>
    <w:rsid w:val="006259BC"/>
    <w:rsid w:val="0062636B"/>
    <w:rsid w:val="00632182"/>
    <w:rsid w:val="00632AE0"/>
    <w:rsid w:val="00633C17"/>
    <w:rsid w:val="00634867"/>
    <w:rsid w:val="00634D9E"/>
    <w:rsid w:val="0063549C"/>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1025"/>
    <w:rsid w:val="006640E5"/>
    <w:rsid w:val="006646F1"/>
    <w:rsid w:val="00664929"/>
    <w:rsid w:val="00664F62"/>
    <w:rsid w:val="006655E1"/>
    <w:rsid w:val="00666666"/>
    <w:rsid w:val="00672060"/>
    <w:rsid w:val="00672BFD"/>
    <w:rsid w:val="006770F4"/>
    <w:rsid w:val="00677A84"/>
    <w:rsid w:val="0068026D"/>
    <w:rsid w:val="00680A27"/>
    <w:rsid w:val="006816A4"/>
    <w:rsid w:val="006819B8"/>
    <w:rsid w:val="006840A6"/>
    <w:rsid w:val="0068439F"/>
    <w:rsid w:val="006850CD"/>
    <w:rsid w:val="00685AAB"/>
    <w:rsid w:val="0069020F"/>
    <w:rsid w:val="006912C9"/>
    <w:rsid w:val="00695D22"/>
    <w:rsid w:val="00697AF7"/>
    <w:rsid w:val="006A06B8"/>
    <w:rsid w:val="006A07AA"/>
    <w:rsid w:val="006A25E5"/>
    <w:rsid w:val="006A2B46"/>
    <w:rsid w:val="006A336D"/>
    <w:rsid w:val="006A37B9"/>
    <w:rsid w:val="006B171E"/>
    <w:rsid w:val="006B2672"/>
    <w:rsid w:val="006B54BF"/>
    <w:rsid w:val="006B5F44"/>
    <w:rsid w:val="006B5F90"/>
    <w:rsid w:val="006B62E4"/>
    <w:rsid w:val="006B6D24"/>
    <w:rsid w:val="006C19DB"/>
    <w:rsid w:val="006C1BBA"/>
    <w:rsid w:val="006C2079"/>
    <w:rsid w:val="006C2152"/>
    <w:rsid w:val="006C5A62"/>
    <w:rsid w:val="006C5D68"/>
    <w:rsid w:val="006C6976"/>
    <w:rsid w:val="006C6DD0"/>
    <w:rsid w:val="006D04EA"/>
    <w:rsid w:val="006D16C4"/>
    <w:rsid w:val="006D2F6B"/>
    <w:rsid w:val="006D3E96"/>
    <w:rsid w:val="006D4515"/>
    <w:rsid w:val="006D4BB1"/>
    <w:rsid w:val="006D6593"/>
    <w:rsid w:val="006E23EA"/>
    <w:rsid w:val="006F03A8"/>
    <w:rsid w:val="006F2ACA"/>
    <w:rsid w:val="006F2ADC"/>
    <w:rsid w:val="006F2BFE"/>
    <w:rsid w:val="006F31E9"/>
    <w:rsid w:val="006F4E64"/>
    <w:rsid w:val="006F6284"/>
    <w:rsid w:val="007002C5"/>
    <w:rsid w:val="00704387"/>
    <w:rsid w:val="007043D8"/>
    <w:rsid w:val="00707669"/>
    <w:rsid w:val="00711CBA"/>
    <w:rsid w:val="00711FB5"/>
    <w:rsid w:val="00712A01"/>
    <w:rsid w:val="00714F58"/>
    <w:rsid w:val="0071629A"/>
    <w:rsid w:val="00722FBF"/>
    <w:rsid w:val="00722FC2"/>
    <w:rsid w:val="00724879"/>
    <w:rsid w:val="00724E1B"/>
    <w:rsid w:val="00725949"/>
    <w:rsid w:val="00727FA2"/>
    <w:rsid w:val="007322D9"/>
    <w:rsid w:val="00732BC0"/>
    <w:rsid w:val="0073720F"/>
    <w:rsid w:val="00737796"/>
    <w:rsid w:val="0074165C"/>
    <w:rsid w:val="00742C35"/>
    <w:rsid w:val="007430AF"/>
    <w:rsid w:val="007432CA"/>
    <w:rsid w:val="007439EB"/>
    <w:rsid w:val="00743CB4"/>
    <w:rsid w:val="00743F0A"/>
    <w:rsid w:val="007444E8"/>
    <w:rsid w:val="0074548E"/>
    <w:rsid w:val="00745773"/>
    <w:rsid w:val="00746800"/>
    <w:rsid w:val="00746A47"/>
    <w:rsid w:val="00750143"/>
    <w:rsid w:val="007501A8"/>
    <w:rsid w:val="00750D61"/>
    <w:rsid w:val="00750EE1"/>
    <w:rsid w:val="00752B4D"/>
    <w:rsid w:val="00755402"/>
    <w:rsid w:val="00756B26"/>
    <w:rsid w:val="00756EDF"/>
    <w:rsid w:val="007600E3"/>
    <w:rsid w:val="007645C9"/>
    <w:rsid w:val="00765C43"/>
    <w:rsid w:val="00765EFB"/>
    <w:rsid w:val="007671CA"/>
    <w:rsid w:val="00767C61"/>
    <w:rsid w:val="0077008A"/>
    <w:rsid w:val="00773C1F"/>
    <w:rsid w:val="007741C8"/>
    <w:rsid w:val="00774DA4"/>
    <w:rsid w:val="00776599"/>
    <w:rsid w:val="00777B97"/>
    <w:rsid w:val="0078114B"/>
    <w:rsid w:val="007812C0"/>
    <w:rsid w:val="00781DD2"/>
    <w:rsid w:val="00783ECF"/>
    <w:rsid w:val="0078413A"/>
    <w:rsid w:val="00784150"/>
    <w:rsid w:val="00792FEC"/>
    <w:rsid w:val="00793471"/>
    <w:rsid w:val="007959E8"/>
    <w:rsid w:val="00795E9C"/>
    <w:rsid w:val="00796BBA"/>
    <w:rsid w:val="007A0521"/>
    <w:rsid w:val="007A2E12"/>
    <w:rsid w:val="007A3475"/>
    <w:rsid w:val="007A41C8"/>
    <w:rsid w:val="007A54CE"/>
    <w:rsid w:val="007A5FD5"/>
    <w:rsid w:val="007A6FD9"/>
    <w:rsid w:val="007A77CE"/>
    <w:rsid w:val="007A7FFA"/>
    <w:rsid w:val="007B04EB"/>
    <w:rsid w:val="007B0D4F"/>
    <w:rsid w:val="007B24BD"/>
    <w:rsid w:val="007B5A3D"/>
    <w:rsid w:val="007B5B95"/>
    <w:rsid w:val="007B68EA"/>
    <w:rsid w:val="007B7453"/>
    <w:rsid w:val="007C1E8B"/>
    <w:rsid w:val="007C2D89"/>
    <w:rsid w:val="007C4593"/>
    <w:rsid w:val="007C5309"/>
    <w:rsid w:val="007C6069"/>
    <w:rsid w:val="007C6612"/>
    <w:rsid w:val="007D06C4"/>
    <w:rsid w:val="007D1352"/>
    <w:rsid w:val="007D2508"/>
    <w:rsid w:val="007D346A"/>
    <w:rsid w:val="007D6518"/>
    <w:rsid w:val="007D76BD"/>
    <w:rsid w:val="007E09CD"/>
    <w:rsid w:val="007E0BF1"/>
    <w:rsid w:val="007E0CD2"/>
    <w:rsid w:val="007E2AF4"/>
    <w:rsid w:val="007F0272"/>
    <w:rsid w:val="007F0ED8"/>
    <w:rsid w:val="007F0F63"/>
    <w:rsid w:val="007F4B65"/>
    <w:rsid w:val="007F5696"/>
    <w:rsid w:val="007F75CE"/>
    <w:rsid w:val="008013A4"/>
    <w:rsid w:val="008017AF"/>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27BB"/>
    <w:rsid w:val="00883F93"/>
    <w:rsid w:val="00884DB3"/>
    <w:rsid w:val="00885822"/>
    <w:rsid w:val="00885A9D"/>
    <w:rsid w:val="008864F6"/>
    <w:rsid w:val="008900F0"/>
    <w:rsid w:val="0089049D"/>
    <w:rsid w:val="008928C9"/>
    <w:rsid w:val="008930CB"/>
    <w:rsid w:val="008938DC"/>
    <w:rsid w:val="00893FD1"/>
    <w:rsid w:val="00894836"/>
    <w:rsid w:val="00895172"/>
    <w:rsid w:val="00895680"/>
    <w:rsid w:val="00896DFF"/>
    <w:rsid w:val="0089762C"/>
    <w:rsid w:val="008A1893"/>
    <w:rsid w:val="008A3215"/>
    <w:rsid w:val="008A47D2"/>
    <w:rsid w:val="008A57E6"/>
    <w:rsid w:val="008A6F81"/>
    <w:rsid w:val="008A769A"/>
    <w:rsid w:val="008B0C9C"/>
    <w:rsid w:val="008B138F"/>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3249"/>
    <w:rsid w:val="008E4BB6"/>
    <w:rsid w:val="008E5518"/>
    <w:rsid w:val="008E6A84"/>
    <w:rsid w:val="008F0CDC"/>
    <w:rsid w:val="008F17A3"/>
    <w:rsid w:val="008F1ED3"/>
    <w:rsid w:val="008F23A5"/>
    <w:rsid w:val="008F29B1"/>
    <w:rsid w:val="008F4C29"/>
    <w:rsid w:val="008F6586"/>
    <w:rsid w:val="008F70BD"/>
    <w:rsid w:val="008F788F"/>
    <w:rsid w:val="008F7EA2"/>
    <w:rsid w:val="009000A3"/>
    <w:rsid w:val="00902722"/>
    <w:rsid w:val="009027BC"/>
    <w:rsid w:val="00903697"/>
    <w:rsid w:val="009062E6"/>
    <w:rsid w:val="00911BE5"/>
    <w:rsid w:val="00913CA9"/>
    <w:rsid w:val="009145AE"/>
    <w:rsid w:val="009146CE"/>
    <w:rsid w:val="00914CA7"/>
    <w:rsid w:val="00915C3E"/>
    <w:rsid w:val="009161A8"/>
    <w:rsid w:val="00923820"/>
    <w:rsid w:val="009245F5"/>
    <w:rsid w:val="009249EC"/>
    <w:rsid w:val="009273B3"/>
    <w:rsid w:val="009305B5"/>
    <w:rsid w:val="009417A1"/>
    <w:rsid w:val="009429D5"/>
    <w:rsid w:val="00942BF1"/>
    <w:rsid w:val="00945180"/>
    <w:rsid w:val="00945428"/>
    <w:rsid w:val="0094607B"/>
    <w:rsid w:val="00946F13"/>
    <w:rsid w:val="00952A88"/>
    <w:rsid w:val="00953604"/>
    <w:rsid w:val="00953E40"/>
    <w:rsid w:val="0095496B"/>
    <w:rsid w:val="00957674"/>
    <w:rsid w:val="009610DC"/>
    <w:rsid w:val="00961490"/>
    <w:rsid w:val="0096381A"/>
    <w:rsid w:val="009638AD"/>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37BA"/>
    <w:rsid w:val="009B6029"/>
    <w:rsid w:val="009B649A"/>
    <w:rsid w:val="009B6971"/>
    <w:rsid w:val="009C27F1"/>
    <w:rsid w:val="009C3152"/>
    <w:rsid w:val="009C4CFA"/>
    <w:rsid w:val="009C5070"/>
    <w:rsid w:val="009D112C"/>
    <w:rsid w:val="009D128E"/>
    <w:rsid w:val="009D3C51"/>
    <w:rsid w:val="009D47FA"/>
    <w:rsid w:val="009D4A88"/>
    <w:rsid w:val="009D4C5B"/>
    <w:rsid w:val="009D50D2"/>
    <w:rsid w:val="009D6BCA"/>
    <w:rsid w:val="009E0F62"/>
    <w:rsid w:val="009E4A58"/>
    <w:rsid w:val="009E5A2D"/>
    <w:rsid w:val="009E5AB2"/>
    <w:rsid w:val="009E6219"/>
    <w:rsid w:val="009F03B3"/>
    <w:rsid w:val="009F6F8E"/>
    <w:rsid w:val="00A0096C"/>
    <w:rsid w:val="00A01757"/>
    <w:rsid w:val="00A028C0"/>
    <w:rsid w:val="00A02BAE"/>
    <w:rsid w:val="00A06A6B"/>
    <w:rsid w:val="00A07E47"/>
    <w:rsid w:val="00A129D0"/>
    <w:rsid w:val="00A12C33"/>
    <w:rsid w:val="00A12CB4"/>
    <w:rsid w:val="00A138BA"/>
    <w:rsid w:val="00A14C8E"/>
    <w:rsid w:val="00A153D9"/>
    <w:rsid w:val="00A15F09"/>
    <w:rsid w:val="00A169B6"/>
    <w:rsid w:val="00A1708B"/>
    <w:rsid w:val="00A2271D"/>
    <w:rsid w:val="00A237D5"/>
    <w:rsid w:val="00A24636"/>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499A"/>
    <w:rsid w:val="00A55BD6"/>
    <w:rsid w:val="00A55D50"/>
    <w:rsid w:val="00A57142"/>
    <w:rsid w:val="00A6483E"/>
    <w:rsid w:val="00A648CD"/>
    <w:rsid w:val="00A6537A"/>
    <w:rsid w:val="00A67866"/>
    <w:rsid w:val="00A70B07"/>
    <w:rsid w:val="00A723F8"/>
    <w:rsid w:val="00A77CCB"/>
    <w:rsid w:val="00A8089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4C51"/>
    <w:rsid w:val="00AA5374"/>
    <w:rsid w:val="00AA57F5"/>
    <w:rsid w:val="00AA672E"/>
    <w:rsid w:val="00AA6EC9"/>
    <w:rsid w:val="00AB41D5"/>
    <w:rsid w:val="00AB5FCF"/>
    <w:rsid w:val="00AB6309"/>
    <w:rsid w:val="00AB6C5F"/>
    <w:rsid w:val="00AB7129"/>
    <w:rsid w:val="00AC27A6"/>
    <w:rsid w:val="00AC30F7"/>
    <w:rsid w:val="00AC3A5A"/>
    <w:rsid w:val="00AC4047"/>
    <w:rsid w:val="00AC4D95"/>
    <w:rsid w:val="00AC5DF4"/>
    <w:rsid w:val="00AC707A"/>
    <w:rsid w:val="00AD0AEF"/>
    <w:rsid w:val="00AD11B7"/>
    <w:rsid w:val="00AD1A94"/>
    <w:rsid w:val="00AD1C05"/>
    <w:rsid w:val="00AD235C"/>
    <w:rsid w:val="00AD4126"/>
    <w:rsid w:val="00AD421C"/>
    <w:rsid w:val="00AD44FA"/>
    <w:rsid w:val="00AE070A"/>
    <w:rsid w:val="00AE0C91"/>
    <w:rsid w:val="00AE101C"/>
    <w:rsid w:val="00AE37E5"/>
    <w:rsid w:val="00AE4AE9"/>
    <w:rsid w:val="00AE5EB4"/>
    <w:rsid w:val="00AF0C18"/>
    <w:rsid w:val="00AF47C5"/>
    <w:rsid w:val="00AF5398"/>
    <w:rsid w:val="00B049AF"/>
    <w:rsid w:val="00B07242"/>
    <w:rsid w:val="00B10534"/>
    <w:rsid w:val="00B113DB"/>
    <w:rsid w:val="00B11D8A"/>
    <w:rsid w:val="00B12981"/>
    <w:rsid w:val="00B1347A"/>
    <w:rsid w:val="00B147DD"/>
    <w:rsid w:val="00B156FD"/>
    <w:rsid w:val="00B21F61"/>
    <w:rsid w:val="00B22BFF"/>
    <w:rsid w:val="00B261F1"/>
    <w:rsid w:val="00B265BC"/>
    <w:rsid w:val="00B3137C"/>
    <w:rsid w:val="00B31FB1"/>
    <w:rsid w:val="00B33952"/>
    <w:rsid w:val="00B33C5E"/>
    <w:rsid w:val="00B342F4"/>
    <w:rsid w:val="00B34369"/>
    <w:rsid w:val="00B34DC2"/>
    <w:rsid w:val="00B378E5"/>
    <w:rsid w:val="00B41BCD"/>
    <w:rsid w:val="00B4346D"/>
    <w:rsid w:val="00B440F4"/>
    <w:rsid w:val="00B447A5"/>
    <w:rsid w:val="00B4654C"/>
    <w:rsid w:val="00B47293"/>
    <w:rsid w:val="00B47755"/>
    <w:rsid w:val="00B50E50"/>
    <w:rsid w:val="00B52120"/>
    <w:rsid w:val="00B54ABC"/>
    <w:rsid w:val="00B54DDE"/>
    <w:rsid w:val="00B56C06"/>
    <w:rsid w:val="00B56FBE"/>
    <w:rsid w:val="00B60076"/>
    <w:rsid w:val="00B60ACF"/>
    <w:rsid w:val="00B62B58"/>
    <w:rsid w:val="00B65149"/>
    <w:rsid w:val="00B66567"/>
    <w:rsid w:val="00B66F52"/>
    <w:rsid w:val="00B66FE5"/>
    <w:rsid w:val="00B67AC9"/>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B726E"/>
    <w:rsid w:val="00BC1A4E"/>
    <w:rsid w:val="00BC5DC7"/>
    <w:rsid w:val="00BC6B8B"/>
    <w:rsid w:val="00BC73D8"/>
    <w:rsid w:val="00BD52D7"/>
    <w:rsid w:val="00BD5AD2"/>
    <w:rsid w:val="00BE22F3"/>
    <w:rsid w:val="00BE403D"/>
    <w:rsid w:val="00BE5B52"/>
    <w:rsid w:val="00BE7B8D"/>
    <w:rsid w:val="00BF0993"/>
    <w:rsid w:val="00BF10A9"/>
    <w:rsid w:val="00BF1703"/>
    <w:rsid w:val="00BF231C"/>
    <w:rsid w:val="00BF51E5"/>
    <w:rsid w:val="00BF6A82"/>
    <w:rsid w:val="00BF74A6"/>
    <w:rsid w:val="00C013AD"/>
    <w:rsid w:val="00C04904"/>
    <w:rsid w:val="00C056B3"/>
    <w:rsid w:val="00C103E5"/>
    <w:rsid w:val="00C13319"/>
    <w:rsid w:val="00C13EE9"/>
    <w:rsid w:val="00C2078A"/>
    <w:rsid w:val="00C210D6"/>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17ED"/>
    <w:rsid w:val="00C521D6"/>
    <w:rsid w:val="00C53361"/>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5283"/>
    <w:rsid w:val="00C86D6F"/>
    <w:rsid w:val="00C905FC"/>
    <w:rsid w:val="00C92D03"/>
    <w:rsid w:val="00C9319C"/>
    <w:rsid w:val="00C9435D"/>
    <w:rsid w:val="00C94DF2"/>
    <w:rsid w:val="00C96741"/>
    <w:rsid w:val="00CA2D1B"/>
    <w:rsid w:val="00CA375D"/>
    <w:rsid w:val="00CA5560"/>
    <w:rsid w:val="00CA662A"/>
    <w:rsid w:val="00CA79A0"/>
    <w:rsid w:val="00CA7AFD"/>
    <w:rsid w:val="00CA7C3C"/>
    <w:rsid w:val="00CB0189"/>
    <w:rsid w:val="00CB0BA2"/>
    <w:rsid w:val="00CB1A42"/>
    <w:rsid w:val="00CB1B0C"/>
    <w:rsid w:val="00CB2B70"/>
    <w:rsid w:val="00CB2C0B"/>
    <w:rsid w:val="00CB517D"/>
    <w:rsid w:val="00CB7BE3"/>
    <w:rsid w:val="00CC038D"/>
    <w:rsid w:val="00CC08DB"/>
    <w:rsid w:val="00CC39FF"/>
    <w:rsid w:val="00CC3C2F"/>
    <w:rsid w:val="00CC4AC8"/>
    <w:rsid w:val="00CC5233"/>
    <w:rsid w:val="00CC5DE6"/>
    <w:rsid w:val="00CC6E4E"/>
    <w:rsid w:val="00CC6FE8"/>
    <w:rsid w:val="00CC7202"/>
    <w:rsid w:val="00CC7EA9"/>
    <w:rsid w:val="00CD2808"/>
    <w:rsid w:val="00CD28BF"/>
    <w:rsid w:val="00CD3A92"/>
    <w:rsid w:val="00CD4092"/>
    <w:rsid w:val="00CD4A20"/>
    <w:rsid w:val="00CD50A1"/>
    <w:rsid w:val="00CD519E"/>
    <w:rsid w:val="00CE0C4F"/>
    <w:rsid w:val="00CE2CEB"/>
    <w:rsid w:val="00CE30EA"/>
    <w:rsid w:val="00CE634E"/>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3A3E"/>
    <w:rsid w:val="00D1489E"/>
    <w:rsid w:val="00D20737"/>
    <w:rsid w:val="00D21E81"/>
    <w:rsid w:val="00D223DE"/>
    <w:rsid w:val="00D25E37"/>
    <w:rsid w:val="00D2661A"/>
    <w:rsid w:val="00D27582"/>
    <w:rsid w:val="00D27904"/>
    <w:rsid w:val="00D27EC4"/>
    <w:rsid w:val="00D32719"/>
    <w:rsid w:val="00D33333"/>
    <w:rsid w:val="00D33457"/>
    <w:rsid w:val="00D352A2"/>
    <w:rsid w:val="00D376AA"/>
    <w:rsid w:val="00D41300"/>
    <w:rsid w:val="00D4162B"/>
    <w:rsid w:val="00D4514F"/>
    <w:rsid w:val="00D451E2"/>
    <w:rsid w:val="00D45E89"/>
    <w:rsid w:val="00D45E8D"/>
    <w:rsid w:val="00D466AE"/>
    <w:rsid w:val="00D4734F"/>
    <w:rsid w:val="00D51BF3"/>
    <w:rsid w:val="00D55774"/>
    <w:rsid w:val="00D605D3"/>
    <w:rsid w:val="00D63B65"/>
    <w:rsid w:val="00D66846"/>
    <w:rsid w:val="00D675FB"/>
    <w:rsid w:val="00D70E82"/>
    <w:rsid w:val="00D71F25"/>
    <w:rsid w:val="00D72A9C"/>
    <w:rsid w:val="00D77031"/>
    <w:rsid w:val="00D84941"/>
    <w:rsid w:val="00D84FA1"/>
    <w:rsid w:val="00D851F0"/>
    <w:rsid w:val="00D86DB7"/>
    <w:rsid w:val="00D926D0"/>
    <w:rsid w:val="00D93030"/>
    <w:rsid w:val="00D93789"/>
    <w:rsid w:val="00D950E1"/>
    <w:rsid w:val="00D952A6"/>
    <w:rsid w:val="00D97F99"/>
    <w:rsid w:val="00DA1E08"/>
    <w:rsid w:val="00DA24F8"/>
    <w:rsid w:val="00DA28E8"/>
    <w:rsid w:val="00DA38D3"/>
    <w:rsid w:val="00DA3932"/>
    <w:rsid w:val="00DA3AFC"/>
    <w:rsid w:val="00DA4999"/>
    <w:rsid w:val="00DA4D1A"/>
    <w:rsid w:val="00DA62E4"/>
    <w:rsid w:val="00DA64F8"/>
    <w:rsid w:val="00DA6C15"/>
    <w:rsid w:val="00DA773B"/>
    <w:rsid w:val="00DB0258"/>
    <w:rsid w:val="00DB38EE"/>
    <w:rsid w:val="00DB39EC"/>
    <w:rsid w:val="00DB498B"/>
    <w:rsid w:val="00DB5A18"/>
    <w:rsid w:val="00DB66CA"/>
    <w:rsid w:val="00DB6BCA"/>
    <w:rsid w:val="00DB73F7"/>
    <w:rsid w:val="00DC0321"/>
    <w:rsid w:val="00DC1535"/>
    <w:rsid w:val="00DC3067"/>
    <w:rsid w:val="00DC370B"/>
    <w:rsid w:val="00DC5B90"/>
    <w:rsid w:val="00DD001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4DF8"/>
    <w:rsid w:val="00DF5F11"/>
    <w:rsid w:val="00E01138"/>
    <w:rsid w:val="00E02DFB"/>
    <w:rsid w:val="00E030F9"/>
    <w:rsid w:val="00E0311A"/>
    <w:rsid w:val="00E03138"/>
    <w:rsid w:val="00E06404"/>
    <w:rsid w:val="00E074FC"/>
    <w:rsid w:val="00E11A85"/>
    <w:rsid w:val="00E12495"/>
    <w:rsid w:val="00E15CCD"/>
    <w:rsid w:val="00E202EF"/>
    <w:rsid w:val="00E210B5"/>
    <w:rsid w:val="00E23D99"/>
    <w:rsid w:val="00E2552F"/>
    <w:rsid w:val="00E30E4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5790E"/>
    <w:rsid w:val="00E60C63"/>
    <w:rsid w:val="00E62FF9"/>
    <w:rsid w:val="00E635D6"/>
    <w:rsid w:val="00E639BC"/>
    <w:rsid w:val="00E664CC"/>
    <w:rsid w:val="00E70388"/>
    <w:rsid w:val="00E705D0"/>
    <w:rsid w:val="00E70F92"/>
    <w:rsid w:val="00E71C04"/>
    <w:rsid w:val="00E74C54"/>
    <w:rsid w:val="00E77A03"/>
    <w:rsid w:val="00E822E8"/>
    <w:rsid w:val="00E82554"/>
    <w:rsid w:val="00E82606"/>
    <w:rsid w:val="00E846C8"/>
    <w:rsid w:val="00E84957"/>
    <w:rsid w:val="00E84A55"/>
    <w:rsid w:val="00E84D82"/>
    <w:rsid w:val="00E85BFF"/>
    <w:rsid w:val="00E90391"/>
    <w:rsid w:val="00E906C2"/>
    <w:rsid w:val="00E90A2D"/>
    <w:rsid w:val="00E91F2F"/>
    <w:rsid w:val="00E9311F"/>
    <w:rsid w:val="00E934D1"/>
    <w:rsid w:val="00E94AF0"/>
    <w:rsid w:val="00E95D13"/>
    <w:rsid w:val="00E95DD3"/>
    <w:rsid w:val="00E95EB0"/>
    <w:rsid w:val="00E969D5"/>
    <w:rsid w:val="00EA58D1"/>
    <w:rsid w:val="00EA61BC"/>
    <w:rsid w:val="00EA681A"/>
    <w:rsid w:val="00EA735B"/>
    <w:rsid w:val="00EB17DE"/>
    <w:rsid w:val="00EB1E69"/>
    <w:rsid w:val="00EB2086"/>
    <w:rsid w:val="00EB5EDF"/>
    <w:rsid w:val="00EB60FE"/>
    <w:rsid w:val="00EB74DB"/>
    <w:rsid w:val="00EC37EE"/>
    <w:rsid w:val="00EC5359"/>
    <w:rsid w:val="00EC562A"/>
    <w:rsid w:val="00ED067A"/>
    <w:rsid w:val="00ED2B50"/>
    <w:rsid w:val="00EE0350"/>
    <w:rsid w:val="00EE0719"/>
    <w:rsid w:val="00EE0E80"/>
    <w:rsid w:val="00EE54A6"/>
    <w:rsid w:val="00EE613F"/>
    <w:rsid w:val="00EE7295"/>
    <w:rsid w:val="00EE77E6"/>
    <w:rsid w:val="00EE7869"/>
    <w:rsid w:val="00EF054A"/>
    <w:rsid w:val="00EF3235"/>
    <w:rsid w:val="00EF3C86"/>
    <w:rsid w:val="00EF4829"/>
    <w:rsid w:val="00EF4F92"/>
    <w:rsid w:val="00EF7E72"/>
    <w:rsid w:val="00F06D37"/>
    <w:rsid w:val="00F07B9D"/>
    <w:rsid w:val="00F11586"/>
    <w:rsid w:val="00F1183B"/>
    <w:rsid w:val="00F11C9F"/>
    <w:rsid w:val="00F12263"/>
    <w:rsid w:val="00F1409D"/>
    <w:rsid w:val="00F14214"/>
    <w:rsid w:val="00F1546F"/>
    <w:rsid w:val="00F157A9"/>
    <w:rsid w:val="00F25BB6"/>
    <w:rsid w:val="00F26B7E"/>
    <w:rsid w:val="00F27A3B"/>
    <w:rsid w:val="00F33817"/>
    <w:rsid w:val="00F3604F"/>
    <w:rsid w:val="00F420D5"/>
    <w:rsid w:val="00F42597"/>
    <w:rsid w:val="00F451EA"/>
    <w:rsid w:val="00F45447"/>
    <w:rsid w:val="00F456C6"/>
    <w:rsid w:val="00F4577B"/>
    <w:rsid w:val="00F46496"/>
    <w:rsid w:val="00F474D0"/>
    <w:rsid w:val="00F50179"/>
    <w:rsid w:val="00F515EE"/>
    <w:rsid w:val="00F56511"/>
    <w:rsid w:val="00F6194E"/>
    <w:rsid w:val="00F623AC"/>
    <w:rsid w:val="00F62BAF"/>
    <w:rsid w:val="00F6412A"/>
    <w:rsid w:val="00F65893"/>
    <w:rsid w:val="00F66A4A"/>
    <w:rsid w:val="00F71E22"/>
    <w:rsid w:val="00F72142"/>
    <w:rsid w:val="00F72AE7"/>
    <w:rsid w:val="00F81141"/>
    <w:rsid w:val="00F833BA"/>
    <w:rsid w:val="00F84FD0"/>
    <w:rsid w:val="00F858D0"/>
    <w:rsid w:val="00F859A8"/>
    <w:rsid w:val="00F86D87"/>
    <w:rsid w:val="00F87073"/>
    <w:rsid w:val="00F9108B"/>
    <w:rsid w:val="00F91349"/>
    <w:rsid w:val="00F93366"/>
    <w:rsid w:val="00F938A0"/>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300C"/>
    <w:rsid w:val="00FC4090"/>
    <w:rsid w:val="00FC55B4"/>
    <w:rsid w:val="00FD00E6"/>
    <w:rsid w:val="00FD09A1"/>
    <w:rsid w:val="00FD2A7C"/>
    <w:rsid w:val="00FD30BA"/>
    <w:rsid w:val="00FD59EB"/>
    <w:rsid w:val="00FD7299"/>
    <w:rsid w:val="00FE1FBE"/>
    <w:rsid w:val="00FE3901"/>
    <w:rsid w:val="00FE39D3"/>
    <w:rsid w:val="00FE4BCE"/>
    <w:rsid w:val="00FE54AE"/>
    <w:rsid w:val="00FE576A"/>
    <w:rsid w:val="00FE6607"/>
    <w:rsid w:val="00FE7E79"/>
    <w:rsid w:val="00FF3E7D"/>
    <w:rsid w:val="00FF5B99"/>
    <w:rsid w:val="00FF730C"/>
    <w:rsid w:val="00FF73F4"/>
    <w:rsid w:val="00FF7CE4"/>
    <w:rsid w:val="00FF7E39"/>
    <w:rsid w:val="0618628E"/>
    <w:rsid w:val="1110524C"/>
    <w:rsid w:val="111D7FB0"/>
    <w:rsid w:val="12CD3ABE"/>
    <w:rsid w:val="3C5B3844"/>
    <w:rsid w:val="446E10E5"/>
    <w:rsid w:val="572459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rFonts w:ascii="Times New Roman" w:hAnsi="Times New Roman" w:eastAsia="宋体" w:cs="Times New Roman"/>
      <w:b/>
      <w:bCs/>
      <w:kern w:val="44"/>
      <w:sz w:val="44"/>
      <w:szCs w:val="44"/>
    </w:rPr>
  </w:style>
  <w:style w:type="character" w:customStyle="1" w:styleId="36">
    <w:name w:val="标题 2 字符"/>
    <w:link w:val="3"/>
    <w:qFormat/>
    <w:uiPriority w:val="0"/>
    <w:rPr>
      <w:rFonts w:ascii="Arial" w:hAnsi="Arial" w:eastAsia="黑体" w:cs="Times New Roman"/>
      <w:b/>
      <w:bCs/>
      <w:sz w:val="32"/>
      <w:szCs w:val="32"/>
    </w:rPr>
  </w:style>
  <w:style w:type="character" w:customStyle="1" w:styleId="37">
    <w:name w:val="标题 3 字符"/>
    <w:link w:val="4"/>
    <w:qFormat/>
    <w:uiPriority w:val="0"/>
    <w:rPr>
      <w:rFonts w:ascii="Times New Roman" w:hAnsi="Times New Roman" w:eastAsia="宋体" w:cs="Times New Roman"/>
      <w:b/>
      <w:bCs/>
      <w:sz w:val="32"/>
      <w:szCs w:val="32"/>
    </w:rPr>
  </w:style>
  <w:style w:type="character" w:customStyle="1" w:styleId="38">
    <w:name w:val="标题 4 字符"/>
    <w:link w:val="5"/>
    <w:qFormat/>
    <w:uiPriority w:val="0"/>
    <w:rPr>
      <w:rFonts w:ascii="Arial" w:hAnsi="Arial" w:eastAsia="黑体" w:cs="Times New Roman"/>
      <w:b/>
      <w:bCs/>
      <w:sz w:val="28"/>
      <w:szCs w:val="28"/>
    </w:rPr>
  </w:style>
  <w:style w:type="character" w:customStyle="1" w:styleId="39">
    <w:name w:val="标题 5 字符"/>
    <w:link w:val="6"/>
    <w:qFormat/>
    <w:uiPriority w:val="0"/>
    <w:rPr>
      <w:rFonts w:ascii="Times New Roman" w:hAnsi="Times New Roman" w:eastAsia="宋体" w:cs="Times New Roman"/>
      <w:b/>
      <w:bCs/>
      <w:sz w:val="28"/>
      <w:szCs w:val="28"/>
    </w:rPr>
  </w:style>
  <w:style w:type="character" w:customStyle="1" w:styleId="40">
    <w:name w:val="标题 6 字符"/>
    <w:link w:val="7"/>
    <w:qFormat/>
    <w:uiPriority w:val="0"/>
    <w:rPr>
      <w:rFonts w:ascii="Arial" w:hAnsi="Arial" w:eastAsia="黑体" w:cs="Times New Roman"/>
      <w:b/>
      <w:bCs/>
      <w:sz w:val="24"/>
      <w:szCs w:val="24"/>
    </w:rPr>
  </w:style>
  <w:style w:type="character" w:customStyle="1" w:styleId="41">
    <w:name w:val="标题 7 字符"/>
    <w:link w:val="8"/>
    <w:qFormat/>
    <w:uiPriority w:val="0"/>
    <w:rPr>
      <w:rFonts w:ascii="Times New Roman" w:hAnsi="Times New Roman" w:eastAsia="宋体" w:cs="Times New Roman"/>
      <w:b/>
      <w:bCs/>
      <w:sz w:val="24"/>
      <w:szCs w:val="24"/>
    </w:rPr>
  </w:style>
  <w:style w:type="character" w:customStyle="1" w:styleId="42">
    <w:name w:val="标题 8 字符"/>
    <w:link w:val="9"/>
    <w:qFormat/>
    <w:uiPriority w:val="0"/>
    <w:rPr>
      <w:rFonts w:ascii="Arial" w:hAnsi="Arial" w:eastAsia="黑体" w:cs="Times New Roman"/>
      <w:sz w:val="24"/>
      <w:szCs w:val="24"/>
    </w:rPr>
  </w:style>
  <w:style w:type="character" w:customStyle="1" w:styleId="43">
    <w:name w:val="标题 9 字符"/>
    <w:link w:val="10"/>
    <w:qFormat/>
    <w:uiPriority w:val="0"/>
    <w:rPr>
      <w:rFonts w:ascii="Arial" w:hAnsi="Arial" w:eastAsia="黑体" w:cs="Times New Roman"/>
      <w:szCs w:val="21"/>
    </w:rPr>
  </w:style>
  <w:style w:type="character" w:customStyle="1" w:styleId="44">
    <w:name w:val="页眉 字符"/>
    <w:link w:val="18"/>
    <w:qFormat/>
    <w:uiPriority w:val="99"/>
    <w:rPr>
      <w:rFonts w:ascii="Times New Roman" w:hAnsi="Times New Roman" w:eastAsia="宋体" w:cs="Times New Roman"/>
      <w:sz w:val="18"/>
      <w:szCs w:val="18"/>
    </w:rPr>
  </w:style>
  <w:style w:type="character" w:customStyle="1" w:styleId="45">
    <w:name w:val="页脚 字符"/>
    <w:link w:val="17"/>
    <w:qFormat/>
    <w:uiPriority w:val="99"/>
    <w:rPr>
      <w:rFonts w:ascii="宋体" w:hAnsi="Times New Roman" w:eastAsia="宋体" w:cs="Times New Roman"/>
      <w:sz w:val="18"/>
      <w:szCs w:val="18"/>
    </w:rPr>
  </w:style>
  <w:style w:type="character" w:customStyle="1" w:styleId="46">
    <w:name w:val="批注框文本 字符"/>
    <w:link w:val="16"/>
    <w:semiHidden/>
    <w:qFormat/>
    <w:uiPriority w:val="99"/>
    <w:rPr>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rPr>
  </w:style>
  <w:style w:type="character" w:customStyle="1" w:styleId="49">
    <w:name w:val="标题 字符"/>
    <w:link w:val="26"/>
    <w:qFormat/>
    <w:uiPriority w:val="0"/>
    <w:rPr>
      <w:rFonts w:ascii="Arial" w:hAnsi="Arial" w:eastAsia="宋体" w:cs="Arial"/>
      <w:b/>
      <w:bCs/>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rFonts w:ascii="Times New Roman" w:hAnsi="Times New Roman" w:eastAsia="宋体" w:cs="Times New Roman"/>
      <w:szCs w:val="20"/>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pPr>
  </w:style>
  <w:style w:type="paragraph" w:customStyle="1" w:styleId="92">
    <w:name w:val="标准文件_目录标题"/>
    <w:basedOn w:val="1"/>
    <w:qFormat/>
    <w:uiPriority w:val="0"/>
    <w:pPr>
      <w:spacing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ind w:left="0" w:firstLine="200"/>
    </w:pPr>
  </w:style>
  <w:style w:type="paragraph" w:customStyle="1" w:styleId="95">
    <w:name w:val="标准文件_三级条标题"/>
    <w:basedOn w:val="66"/>
    <w:next w:val="57"/>
    <w:qFormat/>
    <w:uiPriority w:val="0"/>
    <w:pPr>
      <w:widowControl/>
      <w:numPr>
        <w:ilvl w:val="4"/>
      </w:numPr>
      <w:ind w:left="4394"/>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hAnsi="Times New Roman" w:eastAsia="宋体" w:cs="Times New Roman"/>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ind w:left="783"/>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left="1271" w:hanging="420" w:firstLineChars="0"/>
    </w:pPr>
  </w:style>
  <w:style w:type="paragraph" w:customStyle="1" w:styleId="189">
    <w:name w:val="标准文件_三级项2"/>
    <w:basedOn w:val="57"/>
    <w:qFormat/>
    <w:uiPriority w:val="0"/>
    <w:pPr>
      <w:numPr>
        <w:ilvl w:val="0"/>
        <w:numId w:val="30"/>
      </w:numPr>
      <w:spacing w:line="300" w:lineRule="exact"/>
      <w:ind w:left="1276" w:hanging="425" w:firstLineChars="0"/>
    </w:pPr>
    <w:rPr>
      <w:rFonts w:ascii="Times New Roman"/>
    </w:rPr>
  </w:style>
  <w:style w:type="paragraph" w:customStyle="1" w:styleId="190">
    <w:name w:val="标准文件_一级项2"/>
    <w:basedOn w:val="57"/>
    <w:qFormat/>
    <w:uiPriority w:val="0"/>
    <w:pPr>
      <w:numPr>
        <w:ilvl w:val="0"/>
        <w:numId w:val="31"/>
      </w:numPr>
      <w:spacing w:line="300" w:lineRule="exact"/>
      <w:ind w:left="1271" w:hanging="420"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next w:val="57"/>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paragraph" w:customStyle="1" w:styleId="231">
    <w:name w:val="段"/>
    <w:basedOn w:val="1"/>
    <w:qFormat/>
    <w:uiPriority w:val="0"/>
    <w:pPr>
      <w:widowControl/>
      <w:autoSpaceDE w:val="0"/>
      <w:autoSpaceDN w:val="0"/>
      <w:adjustRightInd/>
      <w:spacing w:line="240" w:lineRule="auto"/>
      <w:ind w:firstLine="420" w:firstLineChars="200"/>
    </w:pPr>
    <w:rPr>
      <w:rFonts w:ascii="宋体" w:hAnsi="宋体" w:cs="宋体"/>
      <w:kern w:val="0"/>
    </w:rPr>
  </w:style>
  <w:style w:type="paragraph" w:customStyle="1" w:styleId="23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33">
    <w:name w:val="一级条标题"/>
    <w:basedOn w:val="1"/>
    <w:next w:val="1"/>
    <w:qFormat/>
    <w:uiPriority w:val="0"/>
    <w:pPr>
      <w:widowControl/>
      <w:adjustRightInd/>
      <w:spacing w:beforeLines="50" w:afterLines="50" w:line="240" w:lineRule="auto"/>
      <w:jc w:val="left"/>
      <w:outlineLvl w:val="2"/>
    </w:pPr>
    <w:rPr>
      <w:rFonts w:ascii="黑体" w:hAnsi="黑体" w:eastAsia="黑体" w:cs="宋体"/>
      <w:kern w:val="0"/>
    </w:rPr>
  </w:style>
  <w:style w:type="paragraph" w:customStyle="1" w:styleId="234">
    <w:name w:val="章标题"/>
    <w:basedOn w:val="1"/>
    <w:next w:val="1"/>
    <w:qFormat/>
    <w:uiPriority w:val="0"/>
    <w:pPr>
      <w:widowControl/>
      <w:adjustRightInd/>
      <w:spacing w:beforeLines="100" w:afterLines="100" w:line="240" w:lineRule="auto"/>
      <w:outlineLvl w:val="1"/>
    </w:pPr>
    <w:rPr>
      <w:rFonts w:ascii="黑体" w:hAnsi="黑体" w:eastAsia="黑体" w:cs="宋体"/>
      <w:kern w:val="0"/>
    </w:rPr>
  </w:style>
  <w:style w:type="paragraph" w:customStyle="1" w:styleId="235">
    <w:name w:val="二级无"/>
    <w:basedOn w:val="1"/>
    <w:qFormat/>
    <w:uiPriority w:val="0"/>
    <w:pPr>
      <w:widowControl/>
      <w:adjustRightInd/>
      <w:spacing w:line="240" w:lineRule="auto"/>
      <w:jc w:val="left"/>
      <w:outlineLvl w:val="3"/>
    </w:pPr>
    <w:rPr>
      <w:rFonts w:ascii="宋体" w:hAnsi="宋体" w:cs="宋体"/>
      <w:kern w:val="0"/>
    </w:rPr>
  </w:style>
  <w:style w:type="paragraph" w:customStyle="1" w:styleId="236">
    <w:name w:val="字母编号列项（一级）"/>
    <w:basedOn w:val="1"/>
    <w:qFormat/>
    <w:uiPriority w:val="0"/>
    <w:pPr>
      <w:widowControl/>
      <w:adjustRightInd/>
      <w:spacing w:before="100" w:beforeAutospacing="1" w:after="100" w:afterAutospacing="1" w:line="240" w:lineRule="auto"/>
      <w:ind w:left="839" w:hanging="419"/>
    </w:pPr>
    <w:rPr>
      <w:rFonts w:ascii="宋体" w:hAnsi="宋体" w:cs="宋体"/>
      <w:kern w:val="0"/>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4" Type="http://schemas.openxmlformats.org/officeDocument/2006/relationships/glossaryDocument" Target="glossary/document.xml"/><Relationship Id="rId33" Type="http://schemas.openxmlformats.org/officeDocument/2006/relationships/fontTable" Target="fontTable.xml"/><Relationship Id="rId32" Type="http://schemas.openxmlformats.org/officeDocument/2006/relationships/customXml" Target="../customXml/item2.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header" Target="header1.xml"/><Relationship Id="rId29" Type="http://schemas.openxmlformats.org/officeDocument/2006/relationships/image" Target="media/image2.jpeg"/><Relationship Id="rId28" Type="http://schemas.openxmlformats.org/officeDocument/2006/relationships/image" Target="media/image1.emf"/><Relationship Id="rId27" Type="http://schemas.openxmlformats.org/officeDocument/2006/relationships/package" Target="embeddings/Microsoft_Visio___1.vsdx"/><Relationship Id="rId26" Type="http://schemas.openxmlformats.org/officeDocument/2006/relationships/image" Target="media/image1.tiff"/><Relationship Id="rId25" Type="http://schemas.openxmlformats.org/officeDocument/2006/relationships/theme" Target="theme/theme1.xml"/><Relationship Id="rId24" Type="http://schemas.openxmlformats.org/officeDocument/2006/relationships/footer" Target="footer11.xml"/><Relationship Id="rId23" Type="http://schemas.openxmlformats.org/officeDocument/2006/relationships/footer" Target="footer10.xml"/><Relationship Id="rId22" Type="http://schemas.openxmlformats.org/officeDocument/2006/relationships/header" Target="header11.xml"/><Relationship Id="rId21" Type="http://schemas.openxmlformats.org/officeDocument/2006/relationships/header" Target="header10.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header" Target="header7.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2B59130BCA44116892E75AF3FEE7ED8"/>
        <w:style w:val=""/>
        <w:category>
          <w:name w:val="常规"/>
          <w:gallery w:val="placeholder"/>
        </w:category>
        <w:types>
          <w:type w:val="bbPlcHdr"/>
        </w:types>
        <w:behaviors>
          <w:behavior w:val="content"/>
        </w:behaviors>
        <w:description w:val=""/>
        <w:guid w:val="{9826A9FA-5645-4FAB-9773-9207FA6144FB}"/>
      </w:docPartPr>
      <w:docPartBody>
        <w:p>
          <w:pPr>
            <w:pStyle w:val="5"/>
          </w:pPr>
          <w:r>
            <w:rPr>
              <w:rStyle w:val="4"/>
              <w:rFonts w:hint="eastAsia"/>
            </w:rPr>
            <w:t>单击或点击此处输入文字。</w:t>
          </w:r>
        </w:p>
      </w:docPartBody>
    </w:docPart>
    <w:docPart>
      <w:docPartPr>
        <w:name w:val="7107D09D7F5D4CB39993247DED27B724"/>
        <w:style w:val=""/>
        <w:category>
          <w:name w:val="常规"/>
          <w:gallery w:val="placeholder"/>
        </w:category>
        <w:types>
          <w:type w:val="bbPlcHdr"/>
        </w:types>
        <w:behaviors>
          <w:behavior w:val="content"/>
        </w:behaviors>
        <w:description w:val=""/>
        <w:guid w:val="{9A5BC3C1-8878-4072-8CD2-74E5FCC6C558}"/>
      </w:docPartPr>
      <w:docPartBody>
        <w:p>
          <w:pPr>
            <w:pStyle w:val="6"/>
          </w:pPr>
          <w:r>
            <w:rPr>
              <w:rStyle w:val="4"/>
              <w:rFonts w:hint="eastAsia"/>
            </w:rPr>
            <w:t>选择一项。</w:t>
          </w:r>
        </w:p>
      </w:docPartBody>
    </w:docPart>
    <w:docPart>
      <w:docPartPr>
        <w:name w:val="ECFC2EEA9565402F8388EFC0EC6F73D0"/>
        <w:style w:val=""/>
        <w:category>
          <w:name w:val="常规"/>
          <w:gallery w:val="placeholder"/>
        </w:category>
        <w:types>
          <w:type w:val="bbPlcHdr"/>
        </w:types>
        <w:behaviors>
          <w:behavior w:val="content"/>
        </w:behaviors>
        <w:description w:val=""/>
        <w:guid w:val="{F55C29C4-5726-4360-AEE3-D455850EAC6F}"/>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5AE0"/>
    <w:rsid w:val="000D5AE0"/>
    <w:rsid w:val="001C7FB9"/>
    <w:rsid w:val="00212D2E"/>
    <w:rsid w:val="00282632"/>
    <w:rsid w:val="002C3C64"/>
    <w:rsid w:val="00335D6B"/>
    <w:rsid w:val="00377C2F"/>
    <w:rsid w:val="00382D70"/>
    <w:rsid w:val="00397180"/>
    <w:rsid w:val="004051E6"/>
    <w:rsid w:val="004247B0"/>
    <w:rsid w:val="00433896"/>
    <w:rsid w:val="00465E71"/>
    <w:rsid w:val="004A4FE8"/>
    <w:rsid w:val="00521D22"/>
    <w:rsid w:val="005978A4"/>
    <w:rsid w:val="005C7F46"/>
    <w:rsid w:val="00630E49"/>
    <w:rsid w:val="00690D95"/>
    <w:rsid w:val="00701303"/>
    <w:rsid w:val="00731EE0"/>
    <w:rsid w:val="00744D6D"/>
    <w:rsid w:val="007A47CE"/>
    <w:rsid w:val="00885D75"/>
    <w:rsid w:val="0089213E"/>
    <w:rsid w:val="00942BFB"/>
    <w:rsid w:val="00944FA1"/>
    <w:rsid w:val="009C7713"/>
    <w:rsid w:val="009D7C1D"/>
    <w:rsid w:val="00A750F3"/>
    <w:rsid w:val="00AA11C9"/>
    <w:rsid w:val="00AB1071"/>
    <w:rsid w:val="00B64755"/>
    <w:rsid w:val="00C1795B"/>
    <w:rsid w:val="00CF28B8"/>
    <w:rsid w:val="00D1064C"/>
    <w:rsid w:val="00D66922"/>
    <w:rsid w:val="00DD0B79"/>
    <w:rsid w:val="00DF4C5B"/>
    <w:rsid w:val="00E0178A"/>
    <w:rsid w:val="00F31E24"/>
    <w:rsid w:val="00FA4356"/>
    <w:rsid w:val="00FC1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22B59130BCA44116892E75AF3FEE7ED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7107D09D7F5D4CB39993247DED27B72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ECFC2EEA9565402F8388EFC0EC6F73D0"/>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F49C93-A3F2-4F28-A196-60EBA596FF9D}">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12</Pages>
  <Words>3130</Words>
  <Characters>3716</Characters>
  <Lines>49</Lines>
  <Paragraphs>13</Paragraphs>
  <TotalTime>0</TotalTime>
  <ScaleCrop>false</ScaleCrop>
  <LinksUpToDate>false</LinksUpToDate>
  <CharactersWithSpaces>3877</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2024-01-24T06:02:00Z</dcterms:created>
  <dc:creator>hui zhu</dc:creator>
  <dc:description>&lt;config cover="true" show_menu="true" version="1.0.0" doctype="SDKXY"&gt;_x000d_
&lt;/config&gt;</dc:description>
  <cp:lastModifiedBy>Ivy</cp:lastModifiedBy>
  <cp:lastPrinted>2023-12-25T11:15:00Z</cp:lastPrinted>
  <dcterms:modified xsi:type="dcterms:W3CDTF">2024-10-23T07:58:02Z</dcterms:modified>
  <dc:title>地方标准</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2052-11.8.2.9067</vt:lpwstr>
  </property>
  <property fmtid="{D5CDD505-2E9C-101B-9397-08002B2CF9AE}" pid="15" name="ICV">
    <vt:lpwstr>D2054254E9FE419AAF9E81EA069BC0C6</vt:lpwstr>
  </property>
  <property fmtid="{D5CDD505-2E9C-101B-9397-08002B2CF9AE}" pid="16" name="DoublePage">
    <vt:lpwstr>false</vt:lpwstr>
  </property>
</Properties>
</file>